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</w:t>
      </w:r>
      <w:r w:rsidR="00EA7E2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651" w:rsidRPr="00310651" w:rsidRDefault="00A84491" w:rsidP="00310651">
      <w:pPr>
        <w:tabs>
          <w:tab w:val="left" w:pos="1363"/>
        </w:tabs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«магазины (4.4)» </w:t>
      </w:r>
      <w:r w:rsidR="00310651" w:rsidRPr="00310651">
        <w:rPr>
          <w:rFonts w:ascii="Times New Roman" w:hAnsi="Times New Roman" w:cs="Times New Roman"/>
          <w:sz w:val="24"/>
          <w:szCs w:val="24"/>
        </w:rPr>
        <w:t>планируемого к формированию земельного участка с координатами:</w:t>
      </w:r>
    </w:p>
    <w:tbl>
      <w:tblPr>
        <w:tblStyle w:val="a6"/>
        <w:tblW w:w="0" w:type="auto"/>
        <w:tblInd w:w="817" w:type="dxa"/>
        <w:tblLook w:val="04A0"/>
      </w:tblPr>
      <w:tblGrid>
        <w:gridCol w:w="1144"/>
        <w:gridCol w:w="3095"/>
        <w:gridCol w:w="3096"/>
      </w:tblGrid>
      <w:tr w:rsidR="00310651" w:rsidRPr="00310651" w:rsidTr="00D90E6A">
        <w:tc>
          <w:tcPr>
            <w:tcW w:w="1144" w:type="dxa"/>
          </w:tcPr>
          <w:p w:rsidR="00310651" w:rsidRPr="00310651" w:rsidRDefault="00310651" w:rsidP="00D90E6A">
            <w:pPr>
              <w:tabs>
                <w:tab w:val="left" w:pos="1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tabs>
                <w:tab w:val="left" w:pos="1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tabs>
                <w:tab w:val="left" w:pos="136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6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310651" w:rsidRPr="00310651" w:rsidTr="00D90E6A">
        <w:tc>
          <w:tcPr>
            <w:tcW w:w="1144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383997.94</w:t>
            </w:r>
          </w:p>
        </w:tc>
        <w:tc>
          <w:tcPr>
            <w:tcW w:w="3096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2262160.86</w:t>
            </w:r>
          </w:p>
        </w:tc>
      </w:tr>
      <w:tr w:rsidR="00310651" w:rsidRPr="00310651" w:rsidTr="00D90E6A">
        <w:tc>
          <w:tcPr>
            <w:tcW w:w="1144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383991.41</w:t>
            </w:r>
          </w:p>
        </w:tc>
        <w:tc>
          <w:tcPr>
            <w:tcW w:w="3096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2262165.37</w:t>
            </w:r>
          </w:p>
        </w:tc>
      </w:tr>
      <w:tr w:rsidR="00310651" w:rsidRPr="00310651" w:rsidTr="00D90E6A">
        <w:tc>
          <w:tcPr>
            <w:tcW w:w="1144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3095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383975.60</w:t>
            </w:r>
          </w:p>
        </w:tc>
        <w:tc>
          <w:tcPr>
            <w:tcW w:w="3096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2262178.01</w:t>
            </w:r>
          </w:p>
        </w:tc>
      </w:tr>
      <w:tr w:rsidR="00310651" w:rsidRPr="00310651" w:rsidTr="00D90E6A">
        <w:tc>
          <w:tcPr>
            <w:tcW w:w="1144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383927.16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2262141.99</w:t>
            </w:r>
          </w:p>
        </w:tc>
      </w:tr>
      <w:tr w:rsidR="00310651" w:rsidRPr="00310651" w:rsidTr="00D90E6A">
        <w:tc>
          <w:tcPr>
            <w:tcW w:w="1144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383922.68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2262138.62</w:t>
            </w:r>
          </w:p>
        </w:tc>
      </w:tr>
      <w:tr w:rsidR="00310651" w:rsidRPr="00310651" w:rsidTr="00D90E6A">
        <w:tc>
          <w:tcPr>
            <w:tcW w:w="1144" w:type="dxa"/>
            <w:vAlign w:val="bottom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383925.26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2262134.18</w:t>
            </w:r>
          </w:p>
        </w:tc>
      </w:tr>
      <w:tr w:rsidR="00310651" w:rsidRPr="00310651" w:rsidTr="00D90E6A">
        <w:tc>
          <w:tcPr>
            <w:tcW w:w="1144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13"/>
              </w:rPr>
            </w:pPr>
            <w:r w:rsidRPr="00310651">
              <w:rPr>
                <w:sz w:val="20"/>
                <w:szCs w:val="20"/>
              </w:rPr>
              <w:t>7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383930.76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2262124.70</w:t>
            </w:r>
          </w:p>
        </w:tc>
      </w:tr>
      <w:tr w:rsidR="00310651" w:rsidRPr="00310651" w:rsidTr="00D90E6A">
        <w:tc>
          <w:tcPr>
            <w:tcW w:w="1144" w:type="dxa"/>
            <w:vAlign w:val="center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383932.75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2262121.58</w:t>
            </w:r>
          </w:p>
        </w:tc>
      </w:tr>
      <w:tr w:rsidR="00310651" w:rsidRPr="00310651" w:rsidTr="00D90E6A">
        <w:tc>
          <w:tcPr>
            <w:tcW w:w="1144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3095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383972.92</w:t>
            </w:r>
          </w:p>
        </w:tc>
        <w:tc>
          <w:tcPr>
            <w:tcW w:w="3096" w:type="dxa"/>
          </w:tcPr>
          <w:p w:rsidR="00310651" w:rsidRPr="00310651" w:rsidRDefault="00310651" w:rsidP="00D90E6A">
            <w:pPr>
              <w:pStyle w:val="a8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 w:rsidRPr="00310651">
              <w:rPr>
                <w:color w:val="000000"/>
                <w:sz w:val="20"/>
                <w:szCs w:val="20"/>
                <w:lang w:bidi="ru-RU"/>
              </w:rPr>
              <w:t>2262147.81</w:t>
            </w:r>
          </w:p>
        </w:tc>
      </w:tr>
    </w:tbl>
    <w:p w:rsidR="007B0D96" w:rsidRDefault="00A84491" w:rsidP="007B0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F10AD0">
        <w:rPr>
          <w:rFonts w:ascii="Times New Roman" w:hAnsi="Times New Roman" w:cs="Times New Roman"/>
          <w:sz w:val="24"/>
          <w:szCs w:val="24"/>
        </w:rPr>
        <w:t>Загребиной Н.Б</w:t>
      </w:r>
      <w:r w:rsidR="007B0D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651" w:rsidRPr="00310651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Гольянское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данный земельный участок отнесен к территориальной зоне  </w:t>
      </w:r>
      <w:r w:rsidR="00F10AD0" w:rsidRPr="00F10AD0">
        <w:rPr>
          <w:rFonts w:ascii="Times New Roman" w:hAnsi="Times New Roman" w:cs="Times New Roman"/>
          <w:sz w:val="24"/>
          <w:szCs w:val="24"/>
        </w:rPr>
        <w:t>Зона транспортной инфраструктуры Т</w:t>
      </w:r>
      <w:r w:rsidRPr="00310651">
        <w:rPr>
          <w:rFonts w:ascii="Times New Roman" w:hAnsi="Times New Roman" w:cs="Times New Roman"/>
          <w:sz w:val="24"/>
          <w:szCs w:val="24"/>
        </w:rPr>
        <w:t>.</w:t>
      </w:r>
    </w:p>
    <w:p w:rsidR="00310651" w:rsidRPr="002C6F16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C6F16">
        <w:rPr>
          <w:rFonts w:ascii="Times New Roman" w:hAnsi="Times New Roman" w:cs="Times New Roman"/>
          <w:sz w:val="24"/>
          <w:szCs w:val="24"/>
        </w:rPr>
        <w:t xml:space="preserve">радостроительным регламентом, данной территориальной зоны </w:t>
      </w:r>
      <w:r w:rsidR="00F10AD0" w:rsidRPr="00F10AD0">
        <w:rPr>
          <w:rFonts w:ascii="Times New Roman" w:hAnsi="Times New Roman" w:cs="Times New Roman"/>
          <w:sz w:val="24"/>
          <w:szCs w:val="24"/>
        </w:rPr>
        <w:t xml:space="preserve">Зона транспортной инфраструктуры Т </w:t>
      </w:r>
      <w:r w:rsidRPr="002C6F16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2C6F16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</w:t>
      </w:r>
      <w:r w:rsidRPr="00914823">
        <w:rPr>
          <w:rFonts w:ascii="Times New Roman" w:hAnsi="Times New Roman" w:cs="Times New Roman"/>
          <w:sz w:val="24"/>
          <w:szCs w:val="24"/>
        </w:rPr>
        <w:t>«</w:t>
      </w:r>
      <w:r w:rsidRPr="00310651">
        <w:rPr>
          <w:rFonts w:ascii="Times New Roman" w:hAnsi="Times New Roman" w:cs="Times New Roman"/>
          <w:sz w:val="24"/>
          <w:szCs w:val="24"/>
        </w:rPr>
        <w:t>Магазины (4.4)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76155"/>
    <w:rsid w:val="000A7AC4"/>
    <w:rsid w:val="001010D2"/>
    <w:rsid w:val="001748FF"/>
    <w:rsid w:val="00245069"/>
    <w:rsid w:val="002724B3"/>
    <w:rsid w:val="002D04F1"/>
    <w:rsid w:val="00310651"/>
    <w:rsid w:val="00354843"/>
    <w:rsid w:val="003F1AF8"/>
    <w:rsid w:val="0050121B"/>
    <w:rsid w:val="00560513"/>
    <w:rsid w:val="0072708B"/>
    <w:rsid w:val="007B0D96"/>
    <w:rsid w:val="008215DB"/>
    <w:rsid w:val="00873C33"/>
    <w:rsid w:val="009517B1"/>
    <w:rsid w:val="00956181"/>
    <w:rsid w:val="00996852"/>
    <w:rsid w:val="00A7696B"/>
    <w:rsid w:val="00A84491"/>
    <w:rsid w:val="00A8707C"/>
    <w:rsid w:val="00AC3E08"/>
    <w:rsid w:val="00AF41C2"/>
    <w:rsid w:val="00BB5F6C"/>
    <w:rsid w:val="00BC59AE"/>
    <w:rsid w:val="00CF260E"/>
    <w:rsid w:val="00E66308"/>
    <w:rsid w:val="00E75B49"/>
    <w:rsid w:val="00EA7E22"/>
    <w:rsid w:val="00EF3719"/>
    <w:rsid w:val="00F1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table" w:styleId="a6">
    <w:name w:val="Table Grid"/>
    <w:basedOn w:val="a1"/>
    <w:uiPriority w:val="59"/>
    <w:rsid w:val="000A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3106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3106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310651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2023-09-20T04:56:00Z</cp:lastPrinted>
  <dcterms:created xsi:type="dcterms:W3CDTF">2024-02-06T09:27:00Z</dcterms:created>
  <dcterms:modified xsi:type="dcterms:W3CDTF">2024-02-06T09:43:00Z</dcterms:modified>
</cp:coreProperties>
</file>