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066382">
        <w:rPr>
          <w:sz w:val="24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муниципальных услуг 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Удмуртской</w:t>
      </w:r>
      <w:r w:rsidR="00E6261D">
        <w:rPr>
          <w:sz w:val="24"/>
        </w:rPr>
        <w:t xml:space="preserve">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</w:t>
      </w:r>
      <w:proofErr w:type="gramEnd"/>
      <w:r w:rsidR="001F5EDA">
        <w:rPr>
          <w:sz w:val="24"/>
        </w:rPr>
        <w:t xml:space="preserve"> «Муниципальный округ Завьяловский район Удмуртской Республики»,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066382">
        <w:rPr>
          <w:sz w:val="24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Осуществить официальное опубликование настоящего постановления в газете «Пригородные вести», в сетевом издании – сайте муниципального образования </w:t>
      </w:r>
      <w:r w:rsidRPr="00F96C84">
        <w:rPr>
          <w:sz w:val="24"/>
        </w:rPr>
        <w:lastRenderedPageBreak/>
        <w:t>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C25255" w:rsidRDefault="00C25255" w:rsidP="00C82F1D"/>
    <w:p w:rsidR="00C25255" w:rsidRDefault="00C25255" w:rsidP="00C82F1D"/>
    <w:p w:rsidR="00C25255" w:rsidRDefault="00C25255" w:rsidP="00C82F1D"/>
    <w:p w:rsidR="00C25255" w:rsidRDefault="00C25255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70C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66382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C04FED"/>
    <w:rsid w:val="00C25255"/>
    <w:rsid w:val="00C43A6B"/>
    <w:rsid w:val="00C53796"/>
    <w:rsid w:val="00C82F1D"/>
    <w:rsid w:val="00C90B0E"/>
    <w:rsid w:val="00CA270C"/>
    <w:rsid w:val="00CD6E6A"/>
    <w:rsid w:val="00D318FA"/>
    <w:rsid w:val="00DE021F"/>
    <w:rsid w:val="00E6261D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97E5-DC35-4F60-8327-775332EF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2025-04-18T05:04:00Z</dcterms:created>
  <dcterms:modified xsi:type="dcterms:W3CDTF">2025-04-18T05:04:00Z</dcterms:modified>
</cp:coreProperties>
</file>