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41C7B7AE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4960B1">
        <w:rPr>
          <w:sz w:val="24"/>
          <w:szCs w:val="24"/>
        </w:rPr>
        <w:t>200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2EB8D291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4960B1">
              <w:rPr>
                <w:bCs/>
                <w:sz w:val="24"/>
                <w:szCs w:val="24"/>
              </w:rPr>
              <w:t>5 984,88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7ADCD7AD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4960B1">
              <w:rPr>
                <w:bCs/>
                <w:sz w:val="24"/>
                <w:szCs w:val="24"/>
              </w:rPr>
              <w:t> 369,80</w:t>
            </w:r>
          </w:p>
        </w:tc>
      </w:tr>
      <w:tr w:rsidR="004960B1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4960B1" w:rsidRPr="00225E68" w:rsidRDefault="004960B1" w:rsidP="004960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5B1BDB0E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75 989,93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6FE95F02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4 399,38</w:t>
            </w:r>
          </w:p>
        </w:tc>
      </w:tr>
      <w:tr w:rsidR="004960B1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4960B1" w:rsidRPr="00225E68" w:rsidRDefault="004960B1" w:rsidP="004960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240EECD9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75 950,50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0D47BDB0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4 406,01</w:t>
            </w:r>
          </w:p>
        </w:tc>
      </w:tr>
      <w:tr w:rsidR="004960B1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4960B1" w:rsidRPr="00225E68" w:rsidRDefault="004960B1" w:rsidP="004960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12A04AA2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75 945,45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1FB113B0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4 376,44</w:t>
            </w:r>
          </w:p>
        </w:tc>
      </w:tr>
      <w:tr w:rsidR="004960B1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4960B1" w:rsidRPr="00225E68" w:rsidRDefault="004960B1" w:rsidP="004960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548D1CFC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75 984,88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449DD034" w:rsidR="004960B1" w:rsidRPr="00225E68" w:rsidRDefault="004960B1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4 369,80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0D3566F4" w14:textId="77777777" w:rsidR="00DD764C" w:rsidRDefault="00DD764C" w:rsidP="00DD764C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DD764C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17422B2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D764C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76</cp:revision>
  <cp:lastPrinted>2025-05-30T05:37:00Z</cp:lastPrinted>
  <dcterms:created xsi:type="dcterms:W3CDTF">2023-01-31T05:58:00Z</dcterms:created>
  <dcterms:modified xsi:type="dcterms:W3CDTF">2025-05-30T05:39:00Z</dcterms:modified>
</cp:coreProperties>
</file>