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C4C26C" w14:textId="77777777" w:rsidR="002E02A6" w:rsidRPr="00B11DC9" w:rsidRDefault="002E02A6" w:rsidP="002E02A6">
      <w:pPr>
        <w:tabs>
          <w:tab w:val="left" w:pos="2869"/>
        </w:tabs>
        <w:autoSpaceDE w:val="0"/>
        <w:autoSpaceDN w:val="0"/>
        <w:adjustRightInd w:val="0"/>
        <w:ind w:right="-20"/>
        <w:jc w:val="right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40"/>
          <w:szCs w:val="40"/>
        </w:rPr>
        <w:drawing>
          <wp:anchor distT="0" distB="0" distL="114300" distR="114300" simplePos="0" relativeHeight="251659776" behindDoc="1" locked="0" layoutInCell="1" allowOverlap="1" wp14:anchorId="78226C5C" wp14:editId="5BA3F12B">
            <wp:simplePos x="0" y="0"/>
            <wp:positionH relativeFrom="margin">
              <wp:align>left</wp:align>
            </wp:positionH>
            <wp:positionV relativeFrom="paragraph">
              <wp:posOffset>-130810</wp:posOffset>
            </wp:positionV>
            <wp:extent cx="1142317" cy="1181100"/>
            <wp:effectExtent l="0" t="0" r="127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17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ОБЩЕСТВО С ОГРАНИЧЕННОЙ  </w:t>
      </w:r>
    </w:p>
    <w:p w14:paraId="3D6385FF" w14:textId="77777777" w:rsidR="002E02A6" w:rsidRPr="00B11DC9" w:rsidRDefault="002E02A6" w:rsidP="002E02A6">
      <w:pPr>
        <w:tabs>
          <w:tab w:val="left" w:pos="2869"/>
        </w:tabs>
        <w:autoSpaceDE w:val="0"/>
        <w:autoSpaceDN w:val="0"/>
        <w:adjustRightInd w:val="0"/>
        <w:ind w:right="-20"/>
        <w:jc w:val="right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ОТВЕТСТВЕННОСТЬЮ</w:t>
      </w:r>
    </w:p>
    <w:p w14:paraId="2E185C88" w14:textId="77777777" w:rsidR="002E02A6" w:rsidRPr="00B11DC9" w:rsidRDefault="002E02A6" w:rsidP="002E02A6">
      <w:pPr>
        <w:tabs>
          <w:tab w:val="left" w:pos="2869"/>
        </w:tabs>
        <w:autoSpaceDE w:val="0"/>
        <w:autoSpaceDN w:val="0"/>
        <w:adjustRightInd w:val="0"/>
        <w:ind w:right="-20"/>
        <w:jc w:val="right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«СЕВЕР»</w:t>
      </w:r>
    </w:p>
    <w:p w14:paraId="77A29F86" w14:textId="77777777" w:rsidR="002E02A6" w:rsidRPr="00B11DC9" w:rsidRDefault="002E02A6" w:rsidP="002E02A6">
      <w:pPr>
        <w:tabs>
          <w:tab w:val="left" w:pos="3969"/>
        </w:tabs>
        <w:autoSpaceDE w:val="0"/>
        <w:autoSpaceDN w:val="0"/>
        <w:adjustRightInd w:val="0"/>
        <w:ind w:right="-20" w:firstLine="708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</w:p>
    <w:p w14:paraId="34CEDAE1" w14:textId="2D795199" w:rsidR="002E02A6" w:rsidRPr="00B11DC9" w:rsidRDefault="00D010B9" w:rsidP="002E02A6">
      <w:pPr>
        <w:tabs>
          <w:tab w:val="left" w:pos="3969"/>
        </w:tabs>
        <w:autoSpaceDE w:val="0"/>
        <w:autoSpaceDN w:val="0"/>
        <w:adjustRightInd w:val="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>
        <w:rPr>
          <w:noProof/>
        </w:rPr>
        <w:pict w14:anchorId="1F52259A">
          <v:line id="Прямая соединительная линия 2" o:spid="_x0000_s1027" style="position:absolute;left:0;text-align:left;z-index:251661312;visibility:visible;mso-wrap-style:square;mso-width-percent:0;mso-height-percent:0;mso-wrap-distance-left:9pt;mso-wrap-distance-top:-8e-5mm;mso-wrap-distance-right:9pt;mso-wrap-distance-bottom:-8e-5mm;mso-position-horizontal:center;mso-position-horizontal-relative:margin;mso-position-vertical:absolute;mso-position-vertical-relative:text;mso-width-percent:0;mso-height-percent:0;mso-width-relative:page;mso-height-relative:page" from="0,14.05pt" to="480.9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" o:allowincell="f" strokeweight="1pt">
            <v:stroke startarrowwidth="narrow" startarrowlength="short" endarrowwidth="narrow" endarrowlength="short"/>
            <v:shadow color="#243f60" opacity=".5" offset="1pt"/>
            <w10:wrap anchorx="margin"/>
          </v:line>
        </w:pict>
      </w:r>
    </w:p>
    <w:p w14:paraId="7EAFC5AC" w14:textId="77777777" w:rsidR="002E02A6" w:rsidRPr="00B11DC9" w:rsidRDefault="002E02A6" w:rsidP="002E02A6">
      <w:pPr>
        <w:tabs>
          <w:tab w:val="left" w:pos="3969"/>
        </w:tabs>
        <w:autoSpaceDE w:val="0"/>
        <w:autoSpaceDN w:val="0"/>
        <w:adjustRightInd w:val="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</w:p>
    <w:p w14:paraId="383F52D1" w14:textId="77777777" w:rsidR="002E02A6" w:rsidRPr="00B11DC9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</w:p>
    <w:p w14:paraId="7058F52A" w14:textId="77777777" w:rsidR="002E02A6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bookmarkStart w:id="0" w:name="_Hlk117220777"/>
      <w:r>
        <w:rPr>
          <w:rFonts w:ascii="Times New Roman" w:hAnsi="Times New Roman" w:cs="Times New Roman"/>
          <w:b/>
          <w:bCs/>
          <w:color w:val="1E487C"/>
          <w:sz w:val="32"/>
          <w:szCs w:val="32"/>
        </w:rPr>
        <w:t>А</w:t>
      </w: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ктуализация схемы теплоснабжения муниципального</w:t>
      </w:r>
    </w:p>
    <w:p w14:paraId="1FC232E9" w14:textId="77777777" w:rsidR="002E02A6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образования ''Муниципальный округ</w:t>
      </w:r>
    </w:p>
    <w:p w14:paraId="7827E8C9" w14:textId="77777777" w:rsidR="002E02A6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</w:t>
      </w:r>
      <w:proofErr w:type="spellStart"/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Завьяловский</w:t>
      </w:r>
      <w:proofErr w:type="spellEnd"/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район Удмуртской Республики'' </w:t>
      </w:r>
    </w:p>
    <w:p w14:paraId="2E1A668D" w14:textId="77777777" w:rsidR="002E02A6" w:rsidRDefault="002E02A6" w:rsidP="002E02A6">
      <w:pPr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на период до 2033 года</w:t>
      </w:r>
    </w:p>
    <w:p w14:paraId="45DCE8B1" w14:textId="77777777" w:rsidR="002E02A6" w:rsidRPr="00B11DC9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(Актуализация на 202</w:t>
      </w:r>
      <w:r>
        <w:rPr>
          <w:rFonts w:ascii="Times New Roman" w:hAnsi="Times New Roman" w:cs="Times New Roman"/>
          <w:b/>
          <w:bCs/>
          <w:color w:val="1E487C"/>
          <w:sz w:val="32"/>
          <w:szCs w:val="32"/>
        </w:rPr>
        <w:t>3</w:t>
      </w: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 xml:space="preserve"> год)</w:t>
      </w:r>
    </w:p>
    <w:bookmarkEnd w:id="0"/>
    <w:p w14:paraId="46D7B45A" w14:textId="5E97C5CA" w:rsidR="002E02A6" w:rsidRPr="00B11DC9" w:rsidRDefault="002E02A6" w:rsidP="002E02A6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7728" behindDoc="0" locked="0" layoutInCell="1" allowOverlap="1" wp14:anchorId="3FD1A427" wp14:editId="795FC6E5">
            <wp:simplePos x="0" y="0"/>
            <wp:positionH relativeFrom="margin">
              <wp:posOffset>1739900</wp:posOffset>
            </wp:positionH>
            <wp:positionV relativeFrom="margin">
              <wp:posOffset>3507740</wp:posOffset>
            </wp:positionV>
            <wp:extent cx="2695575" cy="2695575"/>
            <wp:effectExtent l="0" t="0" r="9525" b="9525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2EC9AB" w14:textId="77777777" w:rsidR="002E02A6" w:rsidRPr="00B11DC9" w:rsidRDefault="002E02A6" w:rsidP="002E02A6">
      <w:pPr>
        <w:jc w:val="center"/>
        <w:rPr>
          <w:rFonts w:ascii="Times New Roman" w:hAnsi="Times New Roman" w:cs="Times New Roman"/>
        </w:rPr>
      </w:pPr>
    </w:p>
    <w:p w14:paraId="09FB9152" w14:textId="0C922B67" w:rsidR="002E02A6" w:rsidRPr="00B11DC9" w:rsidRDefault="002E02A6" w:rsidP="002E02A6">
      <w:pPr>
        <w:ind w:firstLine="709"/>
        <w:jc w:val="both"/>
        <w:rPr>
          <w:rFonts w:ascii="Times New Roman" w:hAnsi="Times New Roman" w:cs="Times New Roman"/>
        </w:rPr>
      </w:pPr>
    </w:p>
    <w:p w14:paraId="1302B55B" w14:textId="77777777" w:rsidR="002E02A6" w:rsidRPr="00B11DC9" w:rsidRDefault="002E02A6" w:rsidP="002E02A6">
      <w:pPr>
        <w:ind w:firstLine="709"/>
        <w:jc w:val="both"/>
        <w:rPr>
          <w:rFonts w:ascii="Times New Roman" w:hAnsi="Times New Roman" w:cs="Times New Roman"/>
        </w:rPr>
      </w:pPr>
    </w:p>
    <w:p w14:paraId="69F4313C" w14:textId="77777777" w:rsidR="002E02A6" w:rsidRPr="00B11DC9" w:rsidRDefault="002E02A6" w:rsidP="002E02A6">
      <w:pPr>
        <w:ind w:firstLine="709"/>
        <w:jc w:val="both"/>
        <w:rPr>
          <w:rFonts w:ascii="Times New Roman" w:hAnsi="Times New Roman" w:cs="Times New Roman"/>
        </w:rPr>
      </w:pPr>
    </w:p>
    <w:p w14:paraId="5811A815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386A0CF0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577F2ED3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4534341C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7EBFFFBE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26C3199B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25BA1345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6E820E3D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0E6921A4" w14:textId="77777777" w:rsidR="002E02A6" w:rsidRDefault="002E02A6" w:rsidP="002E02A6">
      <w:pPr>
        <w:pStyle w:val="ad"/>
        <w:tabs>
          <w:tab w:val="left" w:pos="-284"/>
        </w:tabs>
        <w:jc w:val="center"/>
        <w:rPr>
          <w:rFonts w:ascii="Times New Roman" w:hAnsi="Times New Roman" w:cs="Times New Roman"/>
          <w:b/>
          <w:sz w:val="32"/>
        </w:rPr>
      </w:pPr>
    </w:p>
    <w:p w14:paraId="0C2B68D9" w14:textId="0A39998D" w:rsidR="002E02A6" w:rsidRPr="00755F8C" w:rsidRDefault="002E02A6" w:rsidP="002E02A6">
      <w:pPr>
        <w:pStyle w:val="ad"/>
        <w:tabs>
          <w:tab w:val="left" w:pos="-284"/>
        </w:tabs>
        <w:jc w:val="center"/>
        <w:rPr>
          <w:rFonts w:ascii="Times New Roman" w:eastAsiaTheme="minorHAnsi" w:hAnsi="Times New Roman" w:cs="Times New Roman"/>
          <w:b/>
          <w:sz w:val="32"/>
          <w:szCs w:val="32"/>
        </w:rPr>
      </w:pPr>
      <w:r w:rsidRPr="00755F8C">
        <w:rPr>
          <w:rFonts w:ascii="Times New Roman" w:hAnsi="Times New Roman" w:cs="Times New Roman"/>
          <w:b/>
          <w:sz w:val="32"/>
          <w:szCs w:val="32"/>
        </w:rPr>
        <w:t>Глава 1</w:t>
      </w:r>
      <w:r w:rsidR="00755F8C" w:rsidRPr="00755F8C">
        <w:rPr>
          <w:rFonts w:ascii="Times New Roman" w:hAnsi="Times New Roman" w:cs="Times New Roman"/>
          <w:b/>
          <w:sz w:val="32"/>
          <w:szCs w:val="32"/>
        </w:rPr>
        <w:t>1</w:t>
      </w:r>
      <w:r w:rsidRPr="00755F8C">
        <w:rPr>
          <w:rFonts w:ascii="Times New Roman" w:hAnsi="Times New Roman" w:cs="Times New Roman"/>
          <w:b/>
          <w:sz w:val="32"/>
          <w:szCs w:val="32"/>
        </w:rPr>
        <w:t xml:space="preserve">. </w:t>
      </w:r>
      <w:r w:rsidR="00755F8C" w:rsidRPr="00755F8C">
        <w:rPr>
          <w:rFonts w:ascii="Times New Roman" w:eastAsiaTheme="minorHAnsi" w:hAnsi="Times New Roman" w:cs="Times New Roman"/>
          <w:b/>
          <w:sz w:val="32"/>
          <w:szCs w:val="32"/>
        </w:rPr>
        <w:t>Оценка надежности теплоснабжения</w:t>
      </w:r>
    </w:p>
    <w:p w14:paraId="78620E64" w14:textId="77777777" w:rsidR="002E02A6" w:rsidRPr="00B11DC9" w:rsidRDefault="002E02A6" w:rsidP="002E02A6">
      <w:pPr>
        <w:pStyle w:val="ad"/>
        <w:tabs>
          <w:tab w:val="left" w:pos="-284"/>
        </w:tabs>
        <w:jc w:val="center"/>
        <w:rPr>
          <w:rFonts w:ascii="Times New Roman" w:eastAsiaTheme="minorHAnsi" w:hAnsi="Times New Roman" w:cs="Times New Roman"/>
          <w:b/>
          <w:sz w:val="28"/>
          <w:szCs w:val="28"/>
        </w:rPr>
      </w:pPr>
    </w:p>
    <w:p w14:paraId="76A7E17E" w14:textId="06DC11A1" w:rsidR="002E02A6" w:rsidRDefault="002E02A6" w:rsidP="002E02A6">
      <w:pPr>
        <w:jc w:val="center"/>
        <w:rPr>
          <w:rFonts w:ascii="Times New Roman" w:hAnsi="Times New Roman" w:cs="Times New Roman"/>
          <w:b/>
          <w:sz w:val="32"/>
        </w:rPr>
      </w:pPr>
    </w:p>
    <w:p w14:paraId="439CFB92" w14:textId="77777777" w:rsidR="00B55831" w:rsidRPr="00B11DC9" w:rsidRDefault="00B55831" w:rsidP="002E02A6">
      <w:pPr>
        <w:jc w:val="center"/>
        <w:rPr>
          <w:rFonts w:ascii="Times New Roman" w:hAnsi="Times New Roman" w:cs="Times New Roman"/>
          <w:b/>
          <w:sz w:val="32"/>
        </w:rPr>
      </w:pPr>
      <w:bookmarkStart w:id="1" w:name="_GoBack"/>
      <w:bookmarkEnd w:id="1"/>
    </w:p>
    <w:p w14:paraId="21829B02" w14:textId="77777777" w:rsidR="002E02A6" w:rsidRPr="00B11DC9" w:rsidRDefault="002E02A6" w:rsidP="002E02A6">
      <w:pPr>
        <w:jc w:val="center"/>
        <w:rPr>
          <w:rFonts w:ascii="Times New Roman" w:hAnsi="Times New Roman" w:cs="Times New Roman"/>
          <w:b/>
          <w:sz w:val="32"/>
        </w:rPr>
      </w:pPr>
    </w:p>
    <w:p w14:paraId="2A81557F" w14:textId="77777777" w:rsidR="002E02A6" w:rsidRPr="00B11DC9" w:rsidRDefault="002E02A6" w:rsidP="002E02A6">
      <w:pPr>
        <w:tabs>
          <w:tab w:val="left" w:pos="3969"/>
        </w:tabs>
        <w:autoSpaceDE w:val="0"/>
        <w:autoSpaceDN w:val="0"/>
        <w:adjustRightInd w:val="0"/>
        <w:spacing w:before="120" w:after="120"/>
        <w:ind w:right="-20"/>
        <w:jc w:val="center"/>
        <w:rPr>
          <w:rFonts w:ascii="Times New Roman" w:hAnsi="Times New Roman" w:cs="Times New Roman"/>
          <w:b/>
          <w:bCs/>
          <w:color w:val="1E487C"/>
          <w:sz w:val="32"/>
          <w:szCs w:val="32"/>
        </w:rPr>
      </w:pP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Исполнитель: ООО «</w:t>
      </w:r>
      <w:r>
        <w:rPr>
          <w:rFonts w:ascii="Times New Roman" w:hAnsi="Times New Roman" w:cs="Times New Roman"/>
          <w:b/>
          <w:bCs/>
          <w:color w:val="1E487C"/>
          <w:sz w:val="32"/>
          <w:szCs w:val="32"/>
        </w:rPr>
        <w:t>СЕВЕР</w:t>
      </w:r>
      <w:r w:rsidRPr="00B11DC9">
        <w:rPr>
          <w:rFonts w:ascii="Times New Roman" w:hAnsi="Times New Roman" w:cs="Times New Roman"/>
          <w:b/>
          <w:bCs/>
          <w:color w:val="1E487C"/>
          <w:sz w:val="32"/>
          <w:szCs w:val="32"/>
        </w:rPr>
        <w:t>»</w:t>
      </w:r>
    </w:p>
    <w:p w14:paraId="3EB9C4B3" w14:textId="77777777" w:rsidR="002E02A6" w:rsidRPr="00B11DC9" w:rsidRDefault="002E02A6" w:rsidP="002E02A6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7BBDF84" w14:textId="77777777" w:rsidR="002E02A6" w:rsidRDefault="002E02A6" w:rsidP="002E02A6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D7AB8A5" w14:textId="77777777" w:rsidR="002E02A6" w:rsidRPr="00B11DC9" w:rsidRDefault="002E02A6" w:rsidP="002E02A6">
      <w:pPr>
        <w:jc w:val="center"/>
        <w:rPr>
          <w:rFonts w:ascii="Times New Roman" w:hAnsi="Times New Roman" w:cs="Times New Roman"/>
          <w:b/>
          <w:bCs/>
          <w:color w:val="1E487C"/>
          <w:sz w:val="28"/>
          <w:szCs w:val="28"/>
        </w:rPr>
      </w:pPr>
      <w:r w:rsidRPr="00B11DC9">
        <w:rPr>
          <w:rFonts w:ascii="Times New Roman" w:hAnsi="Times New Roman" w:cs="Times New Roman"/>
          <w:b/>
          <w:bCs/>
          <w:color w:val="1E487C"/>
          <w:sz w:val="28"/>
          <w:szCs w:val="28"/>
        </w:rPr>
        <w:t xml:space="preserve">город </w:t>
      </w:r>
      <w:proofErr w:type="spellStart"/>
      <w:r>
        <w:rPr>
          <w:rFonts w:ascii="Times New Roman" w:hAnsi="Times New Roman" w:cs="Times New Roman"/>
          <w:b/>
          <w:bCs/>
          <w:color w:val="1E487C"/>
          <w:sz w:val="28"/>
          <w:szCs w:val="28"/>
        </w:rPr>
        <w:t>Ростов</w:t>
      </w:r>
      <w:proofErr w:type="spellEnd"/>
      <w:r>
        <w:rPr>
          <w:rFonts w:ascii="Times New Roman" w:hAnsi="Times New Roman" w:cs="Times New Roman"/>
          <w:b/>
          <w:bCs/>
          <w:color w:val="1E487C"/>
          <w:sz w:val="28"/>
          <w:szCs w:val="28"/>
        </w:rPr>
        <w:t>-на-</w:t>
      </w:r>
      <w:proofErr w:type="gramStart"/>
      <w:r>
        <w:rPr>
          <w:rFonts w:ascii="Times New Roman" w:hAnsi="Times New Roman" w:cs="Times New Roman"/>
          <w:b/>
          <w:bCs/>
          <w:color w:val="1E487C"/>
          <w:sz w:val="28"/>
          <w:szCs w:val="28"/>
        </w:rPr>
        <w:t>Дону</w:t>
      </w:r>
      <w:r w:rsidRPr="00B11DC9">
        <w:rPr>
          <w:rFonts w:ascii="Times New Roman" w:hAnsi="Times New Roman" w:cs="Times New Roman"/>
          <w:b/>
          <w:bCs/>
          <w:color w:val="1E487C"/>
          <w:sz w:val="28"/>
          <w:szCs w:val="28"/>
        </w:rPr>
        <w:t>,  202</w:t>
      </w:r>
      <w:r>
        <w:rPr>
          <w:rFonts w:ascii="Times New Roman" w:hAnsi="Times New Roman" w:cs="Times New Roman"/>
          <w:b/>
          <w:bCs/>
          <w:color w:val="1E487C"/>
          <w:sz w:val="28"/>
          <w:szCs w:val="28"/>
        </w:rPr>
        <w:t>3</w:t>
      </w:r>
      <w:proofErr w:type="gramEnd"/>
      <w:r w:rsidRPr="00B11DC9">
        <w:rPr>
          <w:rFonts w:ascii="Times New Roman" w:hAnsi="Times New Roman" w:cs="Times New Roman"/>
          <w:b/>
          <w:bCs/>
          <w:color w:val="1E487C"/>
          <w:sz w:val="28"/>
          <w:szCs w:val="28"/>
        </w:rPr>
        <w:t xml:space="preserve"> г.</w:t>
      </w:r>
    </w:p>
    <w:p w14:paraId="56A77560" w14:textId="680A8F25" w:rsidR="001E6EA8" w:rsidRDefault="002E02A6" w:rsidP="002E02A6">
      <w:pPr>
        <w:pStyle w:val="20"/>
        <w:shd w:val="clear" w:color="auto" w:fill="auto"/>
        <w:spacing w:before="0" w:after="435" w:line="220" w:lineRule="exact"/>
        <w:ind w:left="3980"/>
        <w:jc w:val="left"/>
      </w:pPr>
      <w:r w:rsidRPr="00B11DC9">
        <w:br w:type="page"/>
      </w:r>
      <w:r w:rsidR="00722603">
        <w:lastRenderedPageBreak/>
        <w:t>ОГЛАВЛЕНИЕ</w:t>
      </w:r>
    </w:p>
    <w:p w14:paraId="714EBADD" w14:textId="04950A23" w:rsidR="005970A0" w:rsidRPr="005970A0" w:rsidRDefault="00722603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_Toc53615746" w:history="1">
        <w:r w:rsidR="005970A0" w:rsidRPr="005970A0">
          <w:rPr>
            <w:rStyle w:val="a3"/>
            <w:b w:val="0"/>
            <w:noProof/>
          </w:rPr>
          <w:t>Показатели, определяемые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_Toc53615746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3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7463AC10" w14:textId="772D9E77" w:rsidR="005970A0" w:rsidRPr="005970A0" w:rsidRDefault="00D010B9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hyperlink w:anchor="_Toc53615747" w:history="1">
        <w:r w:rsidR="005970A0" w:rsidRPr="005970A0">
          <w:rPr>
            <w:rStyle w:val="a3"/>
            <w:b w:val="0"/>
            <w:noProof/>
          </w:rPr>
          <w:t>Перспективные показатели надежности, определяемые числом нарушений в подаче тепловой энергии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_Toc53615747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4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2ECCE4B7" w14:textId="2AFE7344" w:rsidR="005970A0" w:rsidRPr="005970A0" w:rsidRDefault="00D010B9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hyperlink w:anchor="_Toc53615748" w:history="1">
        <w:r w:rsidR="005970A0" w:rsidRPr="005970A0">
          <w:rPr>
            <w:rStyle w:val="a3"/>
            <w:b w:val="0"/>
            <w:noProof/>
          </w:rPr>
          <w:t>Перспективные показатели, определяемые приведенной продолжительностью прекращений подачи тепловой энергии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_Toc53615748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8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056F008C" w14:textId="47B9F285" w:rsidR="005970A0" w:rsidRPr="005970A0" w:rsidRDefault="00D010B9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hyperlink w:anchor="_Toc53615749" w:history="1">
        <w:r w:rsidR="005970A0" w:rsidRPr="005970A0">
          <w:rPr>
            <w:rStyle w:val="a3"/>
            <w:b w:val="0"/>
            <w:noProof/>
          </w:rPr>
          <w:t>Перспективные показатели, определяемые приведенным объемом недоотпуска тепла в результате нарушений в подаче тепловой энергии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_Toc53615749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9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0E74B9F4" w14:textId="7CEF5C32" w:rsidR="005970A0" w:rsidRPr="005970A0" w:rsidRDefault="00D010B9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hyperlink w:anchor="_Toc53615750" w:history="1">
        <w:r w:rsidR="005970A0" w:rsidRPr="005970A0">
          <w:rPr>
            <w:rStyle w:val="a3"/>
            <w:b w:val="0"/>
            <w:noProof/>
          </w:rPr>
          <w:t>Перспективные 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_Toc53615750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10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2F0E76DF" w14:textId="6F7DA57F" w:rsidR="005970A0" w:rsidRDefault="00D010B9" w:rsidP="005970A0">
      <w:pPr>
        <w:pStyle w:val="12"/>
        <w:tabs>
          <w:tab w:val="right" w:leader="dot" w:pos="9730"/>
        </w:tabs>
        <w:jc w:val="both"/>
        <w:rPr>
          <w:rFonts w:asciiTheme="minorHAnsi" w:eastAsiaTheme="minorEastAsia" w:hAnsiTheme="minorHAnsi" w:cstheme="minorBidi"/>
          <w:b w:val="0"/>
          <w:bCs w:val="0"/>
          <w:noProof/>
          <w:color w:val="auto"/>
          <w:lang w:bidi="ar-SA"/>
        </w:rPr>
      </w:pPr>
      <w:hyperlink w:anchor="_Toc53615751" w:history="1">
        <w:r w:rsidR="005970A0" w:rsidRPr="005970A0">
          <w:rPr>
            <w:rStyle w:val="a3"/>
            <w:b w:val="0"/>
            <w:noProof/>
          </w:rPr>
          <w:t>Результаты расчета перспективных показателей надежности</w:t>
        </w:r>
        <w:r w:rsidR="005970A0" w:rsidRPr="005970A0">
          <w:rPr>
            <w:b w:val="0"/>
            <w:noProof/>
            <w:webHidden/>
          </w:rPr>
          <w:tab/>
        </w:r>
        <w:r w:rsidR="005970A0" w:rsidRPr="005970A0">
          <w:rPr>
            <w:b w:val="0"/>
            <w:noProof/>
            <w:webHidden/>
          </w:rPr>
          <w:fldChar w:fldCharType="begin"/>
        </w:r>
        <w:r w:rsidR="005970A0" w:rsidRPr="005970A0">
          <w:rPr>
            <w:b w:val="0"/>
            <w:noProof/>
            <w:webHidden/>
          </w:rPr>
          <w:instrText xml:space="preserve"> PAGEREF _Toc53615751 \h </w:instrText>
        </w:r>
        <w:r w:rsidR="005970A0" w:rsidRPr="005970A0">
          <w:rPr>
            <w:b w:val="0"/>
            <w:noProof/>
            <w:webHidden/>
          </w:rPr>
        </w:r>
        <w:r w:rsidR="005970A0" w:rsidRPr="005970A0">
          <w:rPr>
            <w:b w:val="0"/>
            <w:noProof/>
            <w:webHidden/>
          </w:rPr>
          <w:fldChar w:fldCharType="separate"/>
        </w:r>
        <w:r w:rsidR="00EF13F4">
          <w:rPr>
            <w:b w:val="0"/>
            <w:noProof/>
            <w:webHidden/>
          </w:rPr>
          <w:t>11</w:t>
        </w:r>
        <w:r w:rsidR="005970A0" w:rsidRPr="005970A0">
          <w:rPr>
            <w:b w:val="0"/>
            <w:noProof/>
            <w:webHidden/>
          </w:rPr>
          <w:fldChar w:fldCharType="end"/>
        </w:r>
      </w:hyperlink>
    </w:p>
    <w:p w14:paraId="58F30973" w14:textId="77777777" w:rsidR="001E6EA8" w:rsidRDefault="00722603" w:rsidP="005970A0">
      <w:pPr>
        <w:pStyle w:val="12"/>
        <w:shd w:val="clear" w:color="auto" w:fill="auto"/>
        <w:tabs>
          <w:tab w:val="left" w:pos="714"/>
          <w:tab w:val="left" w:leader="dot" w:pos="8752"/>
        </w:tabs>
        <w:spacing w:after="0" w:line="220" w:lineRule="exact"/>
        <w:jc w:val="both"/>
        <w:sectPr w:rsidR="001E6EA8" w:rsidSect="00C9363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1440" w:right="1080" w:bottom="1440" w:left="108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titlePg/>
          <w:docGrid w:linePitch="360"/>
        </w:sectPr>
      </w:pPr>
      <w:r>
        <w:fldChar w:fldCharType="end"/>
      </w:r>
    </w:p>
    <w:p w14:paraId="7EBE62B5" w14:textId="77777777" w:rsidR="001E6EA8" w:rsidRPr="00E32F77" w:rsidRDefault="00722603" w:rsidP="00E32F77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" w:name="_Toc53615746"/>
      <w:r w:rsidRPr="00E32F77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Показатели, определяемые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</w:t>
      </w:r>
      <w:r w:rsidR="00E32F77" w:rsidRPr="00E32F77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Pr="00E32F77">
        <w:rPr>
          <w:rFonts w:ascii="Times New Roman" w:hAnsi="Times New Roman" w:cs="Times New Roman"/>
          <w:b/>
          <w:color w:val="auto"/>
          <w:sz w:val="28"/>
          <w:szCs w:val="28"/>
        </w:rPr>
        <w:t>тепловой энергии</w:t>
      </w:r>
      <w:bookmarkEnd w:id="2"/>
    </w:p>
    <w:p w14:paraId="68DDA31A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tab/>
        <w:t xml:space="preserve">Настоящая методика по анализу показателей, используемых для оценки надёжности систем теплоснабжения, разработана в соответствии с пунктом 2 постановления Правительства Российской Федерации от 8 августа 2012 г. № 808 «Об организации теплоснабжения в Российской Федерации и о внесении изменений в некоторые акты Правительства Российской Федерации» (Собрание законодательства Российской Федерации, 2012, № 34, ст. 4734). 2. 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Федерации, утверждённым постановлением Правительства Российской Федерации от 8 августа 2012 г. № 808: </w:t>
      </w:r>
    </w:p>
    <w:p w14:paraId="19C70546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надёжности электроснабжения источников тепловой энергии; </w:t>
      </w:r>
    </w:p>
    <w:p w14:paraId="03220655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надёжности водоснабжения источников тепловой энергии;</w:t>
      </w:r>
    </w:p>
    <w:p w14:paraId="4B598B53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t xml:space="preserve"> </w:t>
      </w: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надёжности топливоснабжения источников тепловой энергии; </w:t>
      </w:r>
    </w:p>
    <w:p w14:paraId="4542BB95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потребителей; </w:t>
      </w:r>
    </w:p>
    <w:p w14:paraId="2C231819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уровня резервирования источников тепловой энергии и элементов тепловой сети путём их кольцевания и устройств перемычек; </w:t>
      </w:r>
    </w:p>
    <w:p w14:paraId="5960502C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технического состояния тепловых сетей, характеризуемый наличием ветхих, подлежащих замене трубопроводов; </w:t>
      </w:r>
    </w:p>
    <w:p w14:paraId="5EF080B3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интенсивности отказов систем теплоснабжения; </w:t>
      </w:r>
    </w:p>
    <w:p w14:paraId="4B862F44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относительного аварийного </w:t>
      </w:r>
      <w:proofErr w:type="spellStart"/>
      <w:r w:rsidRPr="00050CB8">
        <w:rPr>
          <w:b w:val="0"/>
        </w:rPr>
        <w:t>недоотпуска</w:t>
      </w:r>
      <w:proofErr w:type="spellEnd"/>
      <w:r w:rsidRPr="00050CB8">
        <w:rPr>
          <w:b w:val="0"/>
        </w:rPr>
        <w:t xml:space="preserve"> тепла; </w:t>
      </w:r>
    </w:p>
    <w:p w14:paraId="75D00E2E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готовности теплоснабжающих организаций к проведению аварийно-восстановительных работ в системах теплоснабжения (итоговый показатель); </w:t>
      </w:r>
    </w:p>
    <w:p w14:paraId="49BCE9AE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укомплектованности ремонтным и оперативно-ремонтным персоналом; </w:t>
      </w:r>
    </w:p>
    <w:p w14:paraId="6F5D927F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оснащённости машинами, специальными механизмами и оборудованием; </w:t>
      </w:r>
    </w:p>
    <w:p w14:paraId="73CA0D9E" w14:textId="77777777" w:rsidR="001E6EA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наличия основных материально-технических ресурсов;</w:t>
      </w:r>
    </w:p>
    <w:p w14:paraId="29794D6D" w14:textId="77777777" w:rsid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 w:rsidRPr="00050CB8">
        <w:rPr>
          <w:b w:val="0"/>
        </w:rPr>
        <w:sym w:font="Symbol" w:char="F02D"/>
      </w:r>
      <w:r w:rsidRPr="00050CB8">
        <w:rPr>
          <w:b w:val="0"/>
        </w:rPr>
        <w:t xml:space="preserve"> показатель укомплектованности передвижными автономными источниками электропитания для ведения аварийно-восстановительных работ. </w:t>
      </w:r>
    </w:p>
    <w:p w14:paraId="2D9C1F26" w14:textId="77777777" w:rsid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  <w:r>
        <w:rPr>
          <w:b w:val="0"/>
        </w:rPr>
        <w:tab/>
      </w:r>
      <w:r w:rsidRPr="00050CB8">
        <w:rPr>
          <w:b w:val="0"/>
        </w:rPr>
        <w:t>В методике используются понятия, термины и определения, установленные законодательством Российской Федерации, регулирующим правоотношения в сфере теплоснабжения и горячего водоснабжения.</w:t>
      </w:r>
    </w:p>
    <w:p w14:paraId="5963B265" w14:textId="77777777" w:rsid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jc w:val="both"/>
        <w:rPr>
          <w:b w:val="0"/>
        </w:rPr>
      </w:pPr>
    </w:p>
    <w:p w14:paraId="60BFB25E" w14:textId="77777777" w:rsidR="00050CB8" w:rsidRPr="00050CB8" w:rsidRDefault="00050CB8" w:rsidP="00050CB8">
      <w:pPr>
        <w:pStyle w:val="20"/>
        <w:shd w:val="clear" w:color="auto" w:fill="auto"/>
        <w:tabs>
          <w:tab w:val="left" w:pos="1021"/>
        </w:tabs>
        <w:spacing w:before="0" w:after="0" w:line="413" w:lineRule="exact"/>
        <w:rPr>
          <w:rFonts w:eastAsiaTheme="majorEastAsia"/>
          <w:bCs w:val="0"/>
          <w:color w:val="auto"/>
          <w:sz w:val="28"/>
          <w:szCs w:val="28"/>
        </w:rPr>
      </w:pPr>
      <w:r w:rsidRPr="00050CB8">
        <w:rPr>
          <w:rFonts w:eastAsiaTheme="majorEastAsia"/>
          <w:bCs w:val="0"/>
          <w:color w:val="auto"/>
          <w:sz w:val="28"/>
          <w:szCs w:val="28"/>
        </w:rPr>
        <w:lastRenderedPageBreak/>
        <w:t>Анализ и оценка надёжности системы теплоснабжения</w:t>
      </w:r>
    </w:p>
    <w:p w14:paraId="352AACA5" w14:textId="77777777" w:rsidR="00D2284D" w:rsidRPr="00D2284D" w:rsidRDefault="00050CB8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tab/>
      </w:r>
      <w:bookmarkStart w:id="3" w:name="bookmark0"/>
      <w:bookmarkStart w:id="4" w:name="_Toc53615747"/>
      <w:r w:rsidR="00D2284D" w:rsidRPr="00D2284D">
        <w:rPr>
          <w:b w:val="0"/>
        </w:rPr>
        <w:t xml:space="preserve">1. Надёжность системы теплоснабжения обеспечивается надёжной работой всех элементов системы теплоснабжения, а также внешних, по отношению к системе теплоснабжения, систем электро-, водо-, топливоснабжения источников тепловой энергии. </w:t>
      </w:r>
    </w:p>
    <w:p w14:paraId="412E1061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2. Показатели надёжности системы теплоснабжения: </w:t>
      </w:r>
    </w:p>
    <w:p w14:paraId="1F373C4C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а) показатель надёжности электроснабжения источников тепловой энергии (</w:t>
      </w:r>
      <w:proofErr w:type="spellStart"/>
      <w:r w:rsidRPr="00D2284D">
        <w:rPr>
          <w:b w:val="0"/>
        </w:rPr>
        <w:t>Kэ</w:t>
      </w:r>
      <w:proofErr w:type="spellEnd"/>
      <w:r w:rsidRPr="00D2284D">
        <w:rPr>
          <w:b w:val="0"/>
        </w:rPr>
        <w:t xml:space="preserve">) характеризуется наличием или отсутствием резервного электропитания: </w:t>
      </w:r>
    </w:p>
    <w:p w14:paraId="2510E808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proofErr w:type="spellStart"/>
      <w:r w:rsidRPr="00D2284D">
        <w:rPr>
          <w:b w:val="0"/>
        </w:rPr>
        <w:t>Kэ</w:t>
      </w:r>
      <w:proofErr w:type="spellEnd"/>
      <w:r w:rsidRPr="00D2284D">
        <w:rPr>
          <w:b w:val="0"/>
        </w:rPr>
        <w:t xml:space="preserve">=1,0 – при наличии резервного электроснабжения; </w:t>
      </w:r>
    </w:p>
    <w:p w14:paraId="14A24C22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proofErr w:type="spellStart"/>
      <w:r w:rsidRPr="00D2284D">
        <w:rPr>
          <w:b w:val="0"/>
        </w:rPr>
        <w:t>Kэ</w:t>
      </w:r>
      <w:proofErr w:type="spellEnd"/>
      <w:r w:rsidRPr="00D2284D">
        <w:rPr>
          <w:b w:val="0"/>
        </w:rPr>
        <w:t xml:space="preserve">=0,6 – при отсутствии резервного электроснабжения; </w:t>
      </w:r>
    </w:p>
    <w:p w14:paraId="314F63EF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При наличии в системе теплоснабжения нескольких источников тепловой энергии общий показатель определяется по формуле:</w:t>
      </w:r>
    </w:p>
    <w:p w14:paraId="4DB98869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49024" behindDoc="1" locked="0" layoutInCell="1" allowOverlap="1" wp14:anchorId="1DF54D5D" wp14:editId="66A5AD6B">
            <wp:simplePos x="0" y="0"/>
            <wp:positionH relativeFrom="column">
              <wp:posOffset>228600</wp:posOffset>
            </wp:positionH>
            <wp:positionV relativeFrom="paragraph">
              <wp:posOffset>134440</wp:posOffset>
            </wp:positionV>
            <wp:extent cx="5046453" cy="1266610"/>
            <wp:effectExtent l="0" t="0" r="0" b="0"/>
            <wp:wrapTight wrapText="bothSides">
              <wp:wrapPolygon edited="0">
                <wp:start x="0" y="0"/>
                <wp:lineTo x="0" y="21123"/>
                <wp:lineTo x="21527" y="21123"/>
                <wp:lineTo x="2152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77" t="42398" r="26128" b="38675"/>
                    <a:stretch/>
                  </pic:blipFill>
                  <pic:spPr bwMode="auto">
                    <a:xfrm>
                      <a:off x="0" y="0"/>
                      <a:ext cx="5046453" cy="1266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B31403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2E139833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40C29F97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05712D24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61DD63EA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054EFDCD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Qi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Qn</w:t>
      </w:r>
      <w:proofErr w:type="spellEnd"/>
      <w:r w:rsidRPr="00D2284D">
        <w:rPr>
          <w:b w:val="0"/>
        </w:rPr>
        <w:t xml:space="preserve"> - средние фактические тепловые нагрузки за предшествующие 12 месяцев по каждому i-</w:t>
      </w:r>
      <w:proofErr w:type="spellStart"/>
      <w:r w:rsidRPr="00D2284D">
        <w:rPr>
          <w:b w:val="0"/>
        </w:rPr>
        <w:t>му</w:t>
      </w:r>
      <w:proofErr w:type="spellEnd"/>
      <w:r w:rsidRPr="00D2284D">
        <w:rPr>
          <w:b w:val="0"/>
        </w:rPr>
        <w:t xml:space="preserve"> источнику тепловой энергии; </w:t>
      </w:r>
      <w:proofErr w:type="spellStart"/>
      <w:r w:rsidRPr="00D2284D">
        <w:rPr>
          <w:b w:val="0"/>
        </w:rPr>
        <w:t>tч</w:t>
      </w:r>
      <w:proofErr w:type="spellEnd"/>
      <w:r w:rsidRPr="00D2284D">
        <w:rPr>
          <w:b w:val="0"/>
        </w:rPr>
        <w:t xml:space="preserve"> – количество часов отопительного периода за предшествующие 12 месяцев. n – количество источников тепловой энергии. </w:t>
      </w:r>
    </w:p>
    <w:p w14:paraId="426B4344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б) показатель надёжности водоснабжения источников тепловой энергии (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) характеризуется наличием или отсутствием резервного водоснабжения: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 = 1,0 – при наличии резервного водоснабжения;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 = 0,6 – при отсутствии резервного водоснабжения; </w:t>
      </w:r>
    </w:p>
    <w:p w14:paraId="28005E79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При наличии в системе теплоснабжения нескольких источников тепловой энергии общий показатель определяется по формуле: </w:t>
      </w:r>
    </w:p>
    <w:p w14:paraId="31350879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0048" behindDoc="1" locked="0" layoutInCell="1" allowOverlap="1" wp14:anchorId="7CFACA65" wp14:editId="3C336D71">
            <wp:simplePos x="0" y="0"/>
            <wp:positionH relativeFrom="column">
              <wp:posOffset>806355</wp:posOffset>
            </wp:positionH>
            <wp:positionV relativeFrom="paragraph">
              <wp:posOffset>32157</wp:posOffset>
            </wp:positionV>
            <wp:extent cx="4568190" cy="482600"/>
            <wp:effectExtent l="0" t="0" r="0" b="0"/>
            <wp:wrapTight wrapText="bothSides">
              <wp:wrapPolygon edited="0">
                <wp:start x="0" y="0"/>
                <wp:lineTo x="0" y="20463"/>
                <wp:lineTo x="21528" y="20463"/>
                <wp:lineTo x="21528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48" t="46118" r="38487" b="47931"/>
                    <a:stretch/>
                  </pic:blipFill>
                  <pic:spPr bwMode="auto">
                    <a:xfrm>
                      <a:off x="0" y="0"/>
                      <a:ext cx="4568190" cy="48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92CC7E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4CBBE300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i </w:t>
      </w:r>
      <w:proofErr w:type="spellStart"/>
      <w:proofErr w:type="gram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 .</w:t>
      </w:r>
      <w:proofErr w:type="gramEnd"/>
      <w:r w:rsidRPr="00D2284D">
        <w:rPr>
          <w:b w:val="0"/>
        </w:rPr>
        <w:t xml:space="preserve"> ,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n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 . - значения показателей надёжности отдельных источников тепловой энергии; </w:t>
      </w:r>
    </w:p>
    <w:p w14:paraId="5F00600C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в) показатель надёжности топливоснабжения источников тепловой энергии (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) характеризуется наличием или отсутствием резервного топливоснабжения: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 = 1,0 – при наличии резервного топливоснабжения;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 = 0,5 – при отсутствии резервного топливоснабжения; </w:t>
      </w:r>
    </w:p>
    <w:p w14:paraId="2C719F87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При наличии в системе теплоснабжения нескольких источников тепловой энергии общий </w:t>
      </w:r>
      <w:r w:rsidRPr="00D2284D">
        <w:rPr>
          <w:b w:val="0"/>
        </w:rPr>
        <w:lastRenderedPageBreak/>
        <w:t>показатель определяется по формуле</w:t>
      </w:r>
    </w:p>
    <w:p w14:paraId="1E01B87D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1072" behindDoc="1" locked="0" layoutInCell="1" allowOverlap="1" wp14:anchorId="1BFA5F7F" wp14:editId="6F2E3DA3">
            <wp:simplePos x="0" y="0"/>
            <wp:positionH relativeFrom="column">
              <wp:posOffset>875521</wp:posOffset>
            </wp:positionH>
            <wp:positionV relativeFrom="paragraph">
              <wp:posOffset>125766</wp:posOffset>
            </wp:positionV>
            <wp:extent cx="3591560" cy="517525"/>
            <wp:effectExtent l="0" t="0" r="0" b="0"/>
            <wp:wrapTight wrapText="bothSides">
              <wp:wrapPolygon edited="0">
                <wp:start x="0" y="0"/>
                <wp:lineTo x="0" y="20672"/>
                <wp:lineTo x="21539" y="20672"/>
                <wp:lineTo x="21539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8" t="78103" r="38892" b="15198"/>
                    <a:stretch/>
                  </pic:blipFill>
                  <pic:spPr bwMode="auto">
                    <a:xfrm>
                      <a:off x="0" y="0"/>
                      <a:ext cx="3591560" cy="51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0F60F6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40079722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7E3DBE0D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i </w:t>
      </w:r>
      <w:proofErr w:type="spellStart"/>
      <w:proofErr w:type="gram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 .</w:t>
      </w:r>
      <w:proofErr w:type="gramEnd"/>
      <w:r w:rsidRPr="00D2284D">
        <w:rPr>
          <w:b w:val="0"/>
        </w:rPr>
        <w:t xml:space="preserve"> ,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n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 . - значения показателей надёжности отдельных источников тепловой энергии; </w:t>
      </w:r>
    </w:p>
    <w:p w14:paraId="21B0FC99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г)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(Кб) характеризуется долей (%) тепловой нагрузки, не обеспеченной мощностью источников тепловой энергии и/или пропускной способностью тепловых сетей: Кб = 1,0 – полная обеспеченность; Кб = 0,8 – не обеспечена в размере 10% и менее; Кб = 0,5 – не обеспечена в размере более 10%. При наличии в системе теплоснабжения нескольких источников тепловой энергии общий показатель определяется по формуле</w:t>
      </w:r>
    </w:p>
    <w:p w14:paraId="1DD7476F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2096" behindDoc="1" locked="0" layoutInCell="1" allowOverlap="1" wp14:anchorId="5BFF8063" wp14:editId="73ED3EA3">
            <wp:simplePos x="0" y="0"/>
            <wp:positionH relativeFrom="column">
              <wp:posOffset>831850</wp:posOffset>
            </wp:positionH>
            <wp:positionV relativeFrom="paragraph">
              <wp:posOffset>6350</wp:posOffset>
            </wp:positionV>
            <wp:extent cx="3714750" cy="465455"/>
            <wp:effectExtent l="0" t="0" r="0" b="0"/>
            <wp:wrapTight wrapText="bothSides">
              <wp:wrapPolygon edited="0">
                <wp:start x="0" y="0"/>
                <wp:lineTo x="0" y="20333"/>
                <wp:lineTo x="21489" y="20333"/>
                <wp:lineTo x="2148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79" t="42894" r="39042" b="50658"/>
                    <a:stretch/>
                  </pic:blipFill>
                  <pic:spPr bwMode="auto">
                    <a:xfrm>
                      <a:off x="0" y="0"/>
                      <a:ext cx="3714750" cy="465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DC3C99" w14:textId="77777777" w:rsid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2A0D9A2B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i Кб . ,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n Кб . - значения показателей надёжности отдельных источников тепловой энергии; </w:t>
      </w:r>
    </w:p>
    <w:p w14:paraId="66E01C44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д) показатель уровня резервирования источников тепловой энергии и элементов тепловой сети путём их кольцевания и устройства перемычек (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>), характеризуемый отношением резервируемой расчётной тепловой нагрузки к сумме 10 расчётных тепловых нагрузок (%), подлежащих резервированию согласно схеме теплоснабжения поселений, городских округов, выраженный в %: Оценку уровня резервирования (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): от 90% до 100% -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= 1,0; от 70% до 90% включительно -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= 0,7; от 50% до 70% включительно -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= 0,5; от 30% до 50% включительно -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= 0,3; менее 30% включительно -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= 0,2. При наличии в системе теплоснабжения нескольких источников тепловой энергии общий показатель определяется по формуле</w:t>
      </w:r>
    </w:p>
    <w:p w14:paraId="3EA942D5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3120" behindDoc="1" locked="0" layoutInCell="1" allowOverlap="1" wp14:anchorId="6F88E9E6" wp14:editId="728211F7">
            <wp:simplePos x="0" y="0"/>
            <wp:positionH relativeFrom="column">
              <wp:posOffset>789042</wp:posOffset>
            </wp:positionH>
            <wp:positionV relativeFrom="paragraph">
              <wp:posOffset>11634</wp:posOffset>
            </wp:positionV>
            <wp:extent cx="3632200" cy="491490"/>
            <wp:effectExtent l="0" t="0" r="0" b="0"/>
            <wp:wrapTight wrapText="bothSides">
              <wp:wrapPolygon edited="0">
                <wp:start x="0" y="0"/>
                <wp:lineTo x="0" y="20930"/>
                <wp:lineTo x="21524" y="20930"/>
                <wp:lineTo x="21524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14" t="30001" r="38903" b="63552"/>
                    <a:stretch/>
                  </pic:blipFill>
                  <pic:spPr bwMode="auto">
                    <a:xfrm>
                      <a:off x="0" y="0"/>
                      <a:ext cx="3632200" cy="491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75AEF4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03C5D515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i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. , </w:t>
      </w:r>
      <w:proofErr w:type="spellStart"/>
      <w:r w:rsidRPr="00D2284D">
        <w:rPr>
          <w:b w:val="0"/>
        </w:rPr>
        <w:t>ист</w:t>
      </w:r>
      <w:proofErr w:type="spellEnd"/>
      <w:r w:rsidRPr="00D2284D">
        <w:rPr>
          <w:b w:val="0"/>
        </w:rPr>
        <w:t xml:space="preserve"> n </w:t>
      </w:r>
      <w:proofErr w:type="spellStart"/>
      <w:r w:rsidRPr="00D2284D">
        <w:rPr>
          <w:b w:val="0"/>
        </w:rPr>
        <w:t>Кр</w:t>
      </w:r>
      <w:proofErr w:type="spellEnd"/>
      <w:r w:rsidRPr="00D2284D">
        <w:rPr>
          <w:b w:val="0"/>
        </w:rPr>
        <w:t xml:space="preserve"> . - значения показателей надёжности отдельных источников тепловой энергии;</w:t>
      </w:r>
    </w:p>
    <w:p w14:paraId="578C45A4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е) показатель технического состояния тепловых сетей (Кс), характеризуемый долей ветхих, подлежащих замене трубопроводов, определяется по формуле: </w:t>
      </w:r>
    </w:p>
    <w:p w14:paraId="3B589B91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5154CE3C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4144" behindDoc="1" locked="0" layoutInCell="1" allowOverlap="1" wp14:anchorId="02F822DA" wp14:editId="045DAAE3">
            <wp:simplePos x="0" y="0"/>
            <wp:positionH relativeFrom="column">
              <wp:posOffset>590502</wp:posOffset>
            </wp:positionH>
            <wp:positionV relativeFrom="paragraph">
              <wp:posOffset>4445</wp:posOffset>
            </wp:positionV>
            <wp:extent cx="3898900" cy="516890"/>
            <wp:effectExtent l="0" t="0" r="0" b="0"/>
            <wp:wrapTight wrapText="bothSides">
              <wp:wrapPolygon edited="0">
                <wp:start x="0" y="0"/>
                <wp:lineTo x="0" y="20698"/>
                <wp:lineTo x="21530" y="20698"/>
                <wp:lineTo x="21530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08" t="50085" r="37654" b="43467"/>
                    <a:stretch/>
                  </pic:blipFill>
                  <pic:spPr bwMode="auto">
                    <a:xfrm>
                      <a:off x="0" y="0"/>
                      <a:ext cx="3898900" cy="516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78B55B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5AD22A91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lastRenderedPageBreak/>
        <w:t xml:space="preserve">где </w:t>
      </w:r>
      <w:proofErr w:type="spellStart"/>
      <w:r w:rsidRPr="00D2284D">
        <w:rPr>
          <w:b w:val="0"/>
        </w:rPr>
        <w:t>экспл</w:t>
      </w:r>
      <w:proofErr w:type="spellEnd"/>
      <w:r w:rsidRPr="00D2284D">
        <w:rPr>
          <w:b w:val="0"/>
        </w:rPr>
        <w:t xml:space="preserve"> </w:t>
      </w:r>
      <w:proofErr w:type="spellStart"/>
      <w:r w:rsidRPr="00D2284D">
        <w:rPr>
          <w:b w:val="0"/>
        </w:rPr>
        <w:t>Sc</w:t>
      </w:r>
      <w:proofErr w:type="spellEnd"/>
      <w:r w:rsidRPr="00D2284D">
        <w:rPr>
          <w:b w:val="0"/>
        </w:rPr>
        <w:t xml:space="preserve"> - протяжённость тепловых сетей, находящихся в эксплуатации; ветх </w:t>
      </w:r>
      <w:proofErr w:type="spellStart"/>
      <w:r w:rsidRPr="00D2284D">
        <w:rPr>
          <w:b w:val="0"/>
        </w:rPr>
        <w:t>Sc</w:t>
      </w:r>
      <w:proofErr w:type="spellEnd"/>
      <w:r w:rsidRPr="00D2284D">
        <w:rPr>
          <w:b w:val="0"/>
        </w:rPr>
        <w:t xml:space="preserve"> - протяжённость ветхих тепловых сетей, находящихся в эксплуатации. </w:t>
      </w:r>
    </w:p>
    <w:p w14:paraId="4BB7D398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ж) показатель интенсивности отказов тепловых сетей (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), характеризуемый количеством вынужденных отключений участков тепловой сети с ограничением отпуска тепловой энергии потребителям, вызванным отказом и его устранением: </w:t>
      </w:r>
    </w:p>
    <w:p w14:paraId="663D3CAB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5168" behindDoc="1" locked="0" layoutInCell="1" allowOverlap="1" wp14:anchorId="187187F5" wp14:editId="56798308">
            <wp:simplePos x="0" y="0"/>
            <wp:positionH relativeFrom="column">
              <wp:posOffset>780415</wp:posOffset>
            </wp:positionH>
            <wp:positionV relativeFrom="paragraph">
              <wp:posOffset>8255</wp:posOffset>
            </wp:positionV>
            <wp:extent cx="3217545" cy="727075"/>
            <wp:effectExtent l="0" t="0" r="0" b="0"/>
            <wp:wrapTight wrapText="bothSides">
              <wp:wrapPolygon edited="0">
                <wp:start x="0" y="0"/>
                <wp:lineTo x="0" y="20940"/>
                <wp:lineTo x="21485" y="20940"/>
                <wp:lineTo x="21485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07" t="75127" r="36247" b="15446"/>
                    <a:stretch/>
                  </pic:blipFill>
                  <pic:spPr bwMode="auto">
                    <a:xfrm>
                      <a:off x="0" y="0"/>
                      <a:ext cx="3217545" cy="727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4D4CC7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6E875445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58B8BD12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nотк</w:t>
      </w:r>
      <w:proofErr w:type="spellEnd"/>
      <w:r w:rsidRPr="00D2284D">
        <w:rPr>
          <w:b w:val="0"/>
        </w:rPr>
        <w:t xml:space="preserve"> – количество отказов за предыдущий год; S – протяжённость тепловой сети (в двухтрубном исчислении) данной системы теплоснабжения [км]. В зависимости от интенсивности отказов (</w:t>
      </w:r>
      <w:proofErr w:type="spellStart"/>
      <w:r w:rsidRPr="00D2284D">
        <w:rPr>
          <w:b w:val="0"/>
        </w:rPr>
        <w:t>Иотк.тс</w:t>
      </w:r>
      <w:proofErr w:type="spellEnd"/>
      <w:r w:rsidRPr="00D2284D">
        <w:rPr>
          <w:b w:val="0"/>
        </w:rPr>
        <w:t>) определяется показатель надёжности тепловых сетей (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): 11 до 0,2 включительно - 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 = 1,0; от 0,2 до 0,6 включительно - 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 = 0,8; от 0,6 до 1,2 включительно - 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 = 0,6; свыше 1,2 - </w:t>
      </w:r>
      <w:proofErr w:type="spellStart"/>
      <w:r w:rsidRPr="00D2284D">
        <w:rPr>
          <w:b w:val="0"/>
        </w:rPr>
        <w:t>Котк.тс</w:t>
      </w:r>
      <w:proofErr w:type="spellEnd"/>
      <w:r w:rsidRPr="00D2284D">
        <w:rPr>
          <w:b w:val="0"/>
        </w:rPr>
        <w:t xml:space="preserve"> = 0,5. з) показатель относительного аварийного </w:t>
      </w:r>
      <w:proofErr w:type="spellStart"/>
      <w:r w:rsidRPr="00D2284D">
        <w:rPr>
          <w:b w:val="0"/>
        </w:rPr>
        <w:t>недоотпуска</w:t>
      </w:r>
      <w:proofErr w:type="spellEnd"/>
      <w:r w:rsidRPr="00D2284D">
        <w:rPr>
          <w:b w:val="0"/>
        </w:rPr>
        <w:t xml:space="preserve"> тепла (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) в результате внеплановых отключений </w:t>
      </w:r>
      <w:proofErr w:type="spellStart"/>
      <w:r w:rsidRPr="00D2284D">
        <w:rPr>
          <w:b w:val="0"/>
        </w:rPr>
        <w:t>теплопотребляющих</w:t>
      </w:r>
      <w:proofErr w:type="spellEnd"/>
      <w:r w:rsidRPr="00D2284D">
        <w:rPr>
          <w:b w:val="0"/>
        </w:rPr>
        <w:t xml:space="preserve"> установок потребителей определяется по формуле: </w:t>
      </w:r>
    </w:p>
    <w:p w14:paraId="423A4BDB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6192" behindDoc="1" locked="0" layoutInCell="1" allowOverlap="1" wp14:anchorId="0EA4ADFA" wp14:editId="5EB3065E">
            <wp:simplePos x="0" y="0"/>
            <wp:positionH relativeFrom="column">
              <wp:posOffset>1013400</wp:posOffset>
            </wp:positionH>
            <wp:positionV relativeFrom="paragraph">
              <wp:posOffset>60121</wp:posOffset>
            </wp:positionV>
            <wp:extent cx="3165475" cy="790575"/>
            <wp:effectExtent l="0" t="0" r="0" b="0"/>
            <wp:wrapTight wrapText="bothSides">
              <wp:wrapPolygon edited="0">
                <wp:start x="0" y="0"/>
                <wp:lineTo x="0" y="21340"/>
                <wp:lineTo x="21448" y="21340"/>
                <wp:lineTo x="21448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03" t="19836" r="34864" b="69750"/>
                    <a:stretch/>
                  </pic:blipFill>
                  <pic:spPr bwMode="auto">
                    <a:xfrm>
                      <a:off x="0" y="0"/>
                      <a:ext cx="3165475" cy="79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7CF51D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41D42A3C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03650B54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56704C96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где </w:t>
      </w:r>
      <w:proofErr w:type="spellStart"/>
      <w:r w:rsidRPr="00D2284D">
        <w:rPr>
          <w:b w:val="0"/>
        </w:rPr>
        <w:t>Qоткл</w:t>
      </w:r>
      <w:proofErr w:type="spellEnd"/>
      <w:r w:rsidRPr="00D2284D">
        <w:rPr>
          <w:b w:val="0"/>
        </w:rPr>
        <w:t xml:space="preserve"> – </w:t>
      </w:r>
      <w:proofErr w:type="spellStart"/>
      <w:r w:rsidRPr="00D2284D">
        <w:rPr>
          <w:b w:val="0"/>
        </w:rPr>
        <w:t>недоотпуск</w:t>
      </w:r>
      <w:proofErr w:type="spellEnd"/>
      <w:r w:rsidRPr="00D2284D">
        <w:rPr>
          <w:b w:val="0"/>
        </w:rPr>
        <w:t xml:space="preserve"> тепла; </w:t>
      </w:r>
      <w:proofErr w:type="spellStart"/>
      <w:r w:rsidRPr="00D2284D">
        <w:rPr>
          <w:b w:val="0"/>
        </w:rPr>
        <w:t>Qфакт</w:t>
      </w:r>
      <w:proofErr w:type="spellEnd"/>
      <w:r w:rsidRPr="00D2284D">
        <w:rPr>
          <w:b w:val="0"/>
        </w:rPr>
        <w:t xml:space="preserve"> – фактический отпуск тепла системой теплоснабжения. В зависимости от величины относительного </w:t>
      </w:r>
      <w:proofErr w:type="spellStart"/>
      <w:r w:rsidRPr="00D2284D">
        <w:rPr>
          <w:b w:val="0"/>
        </w:rPr>
        <w:t>недоотпуска</w:t>
      </w:r>
      <w:proofErr w:type="spellEnd"/>
      <w:r w:rsidRPr="00D2284D">
        <w:rPr>
          <w:b w:val="0"/>
        </w:rPr>
        <w:t xml:space="preserve"> тепла (</w:t>
      </w:r>
      <w:proofErr w:type="spellStart"/>
      <w:r w:rsidRPr="00D2284D">
        <w:rPr>
          <w:b w:val="0"/>
        </w:rPr>
        <w:t>Qнед</w:t>
      </w:r>
      <w:proofErr w:type="spellEnd"/>
      <w:r w:rsidRPr="00D2284D">
        <w:rPr>
          <w:b w:val="0"/>
        </w:rPr>
        <w:t>) определяется показатель надёжности (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): до 0,1% включительно - 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 = 1,0; от 0,1% до 0,3% включительно - 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 = 0,8; от 0,3% до 0,5% включительно - 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 = 0,6; от 0,5% до 1,0% включительно - 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 = 0,5; свыше 1,0% - </w:t>
      </w:r>
      <w:proofErr w:type="spellStart"/>
      <w:r w:rsidRPr="00D2284D">
        <w:rPr>
          <w:b w:val="0"/>
        </w:rPr>
        <w:t>Кнед</w:t>
      </w:r>
      <w:proofErr w:type="spellEnd"/>
      <w:r w:rsidRPr="00D2284D">
        <w:rPr>
          <w:b w:val="0"/>
        </w:rPr>
        <w:t xml:space="preserve"> = 0,2. </w:t>
      </w:r>
    </w:p>
    <w:p w14:paraId="2D3703BD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и) показатель укомплектованности ремонтным и оперативно-ремонтным персоналом (</w:t>
      </w:r>
      <w:proofErr w:type="spellStart"/>
      <w:r w:rsidRPr="00D2284D">
        <w:rPr>
          <w:b w:val="0"/>
        </w:rPr>
        <w:t>Кп</w:t>
      </w:r>
      <w:proofErr w:type="spellEnd"/>
      <w:r w:rsidRPr="00D2284D">
        <w:rPr>
          <w:b w:val="0"/>
        </w:rPr>
        <w:t xml:space="preserve">) определяется как отношение фактической численности к численности по действующим нормативам, но не более 1,0. </w:t>
      </w:r>
    </w:p>
    <w:p w14:paraId="32973D0E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к) показатель оснащённости машинами, специальными механизмами и оборудованием (Км) принимается как среднее отношение фактического наличия к </w:t>
      </w:r>
      <w:proofErr w:type="spellStart"/>
      <w:r w:rsidRPr="00D2284D">
        <w:rPr>
          <w:b w:val="0"/>
        </w:rPr>
        <w:t>колличеству</w:t>
      </w:r>
      <w:proofErr w:type="spellEnd"/>
      <w:r w:rsidRPr="00D2284D">
        <w:rPr>
          <w:b w:val="0"/>
        </w:rPr>
        <w:t xml:space="preserve">, определённому по нормативам, по основной номенклатуре: </w:t>
      </w:r>
    </w:p>
    <w:p w14:paraId="6F0E224B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7216" behindDoc="1" locked="0" layoutInCell="1" allowOverlap="1" wp14:anchorId="150826FB" wp14:editId="74CC350F">
            <wp:simplePos x="0" y="0"/>
            <wp:positionH relativeFrom="column">
              <wp:posOffset>1315085</wp:posOffset>
            </wp:positionH>
            <wp:positionV relativeFrom="paragraph">
              <wp:posOffset>163195</wp:posOffset>
            </wp:positionV>
            <wp:extent cx="3018790" cy="672465"/>
            <wp:effectExtent l="0" t="0" r="0" b="0"/>
            <wp:wrapTight wrapText="bothSides">
              <wp:wrapPolygon edited="0">
                <wp:start x="0" y="0"/>
                <wp:lineTo x="0" y="20805"/>
                <wp:lineTo x="21400" y="20805"/>
                <wp:lineTo x="21400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48" t="78598" r="33609" b="13215"/>
                    <a:stretch/>
                  </pic:blipFill>
                  <pic:spPr bwMode="auto">
                    <a:xfrm>
                      <a:off x="0" y="0"/>
                      <a:ext cx="3018790" cy="672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4679C8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06BA9BBE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3FF57056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lastRenderedPageBreak/>
        <w:t xml:space="preserve">где f Км , n Км - показатели, относящиеся к данному виду машин, механизмов, оборудования; n – число показателей, учтённых в числителе. </w:t>
      </w:r>
    </w:p>
    <w:p w14:paraId="45E36271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л) показатель наличия основных материально-технических ресурсов (</w:t>
      </w:r>
      <w:proofErr w:type="spellStart"/>
      <w:r w:rsidRPr="00D2284D">
        <w:rPr>
          <w:b w:val="0"/>
        </w:rPr>
        <w:t>Ктр</w:t>
      </w:r>
      <w:proofErr w:type="spellEnd"/>
      <w:r w:rsidRPr="00D2284D">
        <w:rPr>
          <w:b w:val="0"/>
        </w:rPr>
        <w:t xml:space="preserve">) определяется аналогично по формуле (10) по основной номенклатуре ресурсов 12 (трубы, компенсаторы, арматура, сварочные материалы и т.п.). Принимаемые для определения значения общего </w:t>
      </w:r>
      <w:proofErr w:type="spellStart"/>
      <w:r w:rsidRPr="00D2284D">
        <w:rPr>
          <w:b w:val="0"/>
        </w:rPr>
        <w:t>Ктр</w:t>
      </w:r>
      <w:proofErr w:type="spellEnd"/>
      <w:r w:rsidRPr="00D2284D">
        <w:rPr>
          <w:b w:val="0"/>
        </w:rPr>
        <w:t xml:space="preserve"> частные показатели не должны превышать 1,0.</w:t>
      </w:r>
    </w:p>
    <w:p w14:paraId="3F4462AA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м) показатель укомплектованности передвижными автономными источниками электропитания (Кист) для ведения аварийно-восстановительных работ вычисляется как отношений фактического наличия данного оборудования (в единицах мощности – кВт) к потребности. </w:t>
      </w:r>
    </w:p>
    <w:p w14:paraId="3D89F6E3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н) показатель готовности теплоснабжающих организаций к проведению аварийно</w:t>
      </w:r>
      <w:r w:rsidR="00D20436">
        <w:rPr>
          <w:b w:val="0"/>
        </w:rPr>
        <w:t>-</w:t>
      </w:r>
      <w:r w:rsidRPr="00D2284D">
        <w:rPr>
          <w:b w:val="0"/>
        </w:rPr>
        <w:t xml:space="preserve"> восстановительных работ в системах теплоснабжения (общий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работ. Общий показатель готовности теплоснабжающих организаций к проведению восстановительных работ в системах теплоснабжения к выполнению аварийно</w:t>
      </w:r>
      <w:r w:rsidR="00D20436">
        <w:rPr>
          <w:b w:val="0"/>
        </w:rPr>
        <w:t>-</w:t>
      </w:r>
      <w:r w:rsidRPr="00D2284D">
        <w:rPr>
          <w:b w:val="0"/>
        </w:rPr>
        <w:t xml:space="preserve">восстановительных работ определяется следующим образом: </w:t>
      </w:r>
    </w:p>
    <w:p w14:paraId="70D14837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8240" behindDoc="1" locked="0" layoutInCell="1" allowOverlap="1" wp14:anchorId="591C8466" wp14:editId="361011F3">
            <wp:simplePos x="0" y="0"/>
            <wp:positionH relativeFrom="column">
              <wp:posOffset>228480</wp:posOffset>
            </wp:positionH>
            <wp:positionV relativeFrom="paragraph">
              <wp:posOffset>113605</wp:posOffset>
            </wp:positionV>
            <wp:extent cx="5587365" cy="1310640"/>
            <wp:effectExtent l="0" t="0" r="0" b="0"/>
            <wp:wrapTight wrapText="bothSides">
              <wp:wrapPolygon edited="0">
                <wp:start x="0" y="0"/>
                <wp:lineTo x="0" y="21349"/>
                <wp:lineTo x="21504" y="21349"/>
                <wp:lineTo x="2150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48" t="57523" r="29141" b="25366"/>
                    <a:stretch/>
                  </pic:blipFill>
                  <pic:spPr bwMode="auto">
                    <a:xfrm>
                      <a:off x="0" y="0"/>
                      <a:ext cx="5587365" cy="1310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CC5972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659040CE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6A13093B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775619EF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Общая оценка готовности даётся по следующим категориям: </w:t>
      </w:r>
      <w:proofErr w:type="spellStart"/>
      <w:r w:rsidRPr="00D2284D">
        <w:rPr>
          <w:b w:val="0"/>
        </w:rPr>
        <w:t>Кгот</w:t>
      </w:r>
      <w:proofErr w:type="spellEnd"/>
      <w:r w:rsidRPr="00D2284D">
        <w:rPr>
          <w:b w:val="0"/>
        </w:rPr>
        <w:t xml:space="preserve"> </w:t>
      </w:r>
      <w:proofErr w:type="spellStart"/>
      <w:r w:rsidRPr="00D2284D">
        <w:rPr>
          <w:b w:val="0"/>
        </w:rPr>
        <w:t>Кп</w:t>
      </w:r>
      <w:proofErr w:type="spellEnd"/>
      <w:r w:rsidRPr="00D2284D">
        <w:rPr>
          <w:b w:val="0"/>
        </w:rPr>
        <w:t xml:space="preserve">; Км; </w:t>
      </w:r>
      <w:proofErr w:type="spellStart"/>
      <w:r w:rsidRPr="00D2284D">
        <w:rPr>
          <w:b w:val="0"/>
        </w:rPr>
        <w:t>Ктр</w:t>
      </w:r>
      <w:proofErr w:type="spellEnd"/>
      <w:r w:rsidRPr="00D2284D">
        <w:rPr>
          <w:b w:val="0"/>
        </w:rPr>
        <w:t xml:space="preserve"> Категория готовности 0,85-1,0 0,75 и более удовлетворительная готовность 0,85-1,0 до 0,75 ограниченная готовность 0,7-0,84 0,5 и более ограниченная готовность 0,7-0,84 до 0,5 неготовность менее 0,7 - неготовность </w:t>
      </w:r>
    </w:p>
    <w:p w14:paraId="3D2DEF8B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3. Оценка надёжности систем теплоснабжения.</w:t>
      </w:r>
    </w:p>
    <w:p w14:paraId="264B7BF1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а) оценка надёжности источников тепловой энергии. В зависимости от полученных показателей надёжности </w:t>
      </w:r>
      <w:proofErr w:type="spellStart"/>
      <w:r w:rsidRPr="00D2284D">
        <w:rPr>
          <w:b w:val="0"/>
        </w:rPr>
        <w:t>Кэ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 и источники тепловой энергии могут быть оценены как: надёжные - при </w:t>
      </w:r>
      <w:proofErr w:type="spellStart"/>
      <w:r w:rsidRPr="00D2284D">
        <w:rPr>
          <w:b w:val="0"/>
        </w:rPr>
        <w:t>Кэ</w:t>
      </w:r>
      <w:proofErr w:type="spellEnd"/>
      <w:r w:rsidRPr="00D2284D">
        <w:rPr>
          <w:b w:val="0"/>
        </w:rPr>
        <w:t>=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>=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=1; малонадёжные - при значении меньше 1 одного из показателей </w:t>
      </w:r>
      <w:proofErr w:type="spellStart"/>
      <w:r w:rsidRPr="00D2284D">
        <w:rPr>
          <w:b w:val="0"/>
        </w:rPr>
        <w:t>Кэ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. ненадёжные - при значении меньше 1 у 2-х и более показателей </w:t>
      </w:r>
      <w:proofErr w:type="spellStart"/>
      <w:r w:rsidRPr="00D2284D">
        <w:rPr>
          <w:b w:val="0"/>
        </w:rPr>
        <w:t>Кэ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Кв</w:t>
      </w:r>
      <w:proofErr w:type="spellEnd"/>
      <w:r w:rsidRPr="00D2284D">
        <w:rPr>
          <w:b w:val="0"/>
        </w:rPr>
        <w:t xml:space="preserve">, </w:t>
      </w:r>
      <w:proofErr w:type="spellStart"/>
      <w:r w:rsidRPr="00D2284D">
        <w:rPr>
          <w:b w:val="0"/>
        </w:rPr>
        <w:t>Кт</w:t>
      </w:r>
      <w:proofErr w:type="spellEnd"/>
      <w:r w:rsidRPr="00D2284D">
        <w:rPr>
          <w:b w:val="0"/>
        </w:rPr>
        <w:t xml:space="preserve">. </w:t>
      </w:r>
    </w:p>
    <w:p w14:paraId="38DE9B3A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б) оценка надёжности тепловых сетей. В зависимости от полученных показателей надёжности </w:t>
      </w:r>
      <w:r w:rsidRPr="00D2284D">
        <w:rPr>
          <w:b w:val="0"/>
        </w:rPr>
        <w:lastRenderedPageBreak/>
        <w:t>тепловые сети могут быть оценены как: высоконадёжные - более 0,9; 13 надёжные - 0,75 - 0,9; малонадёжные - 0,5 – 0,74; ненадёжные - менее 0,5.</w:t>
      </w:r>
    </w:p>
    <w:p w14:paraId="4EF5CF45" w14:textId="77777777" w:rsidR="00D20436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 xml:space="preserve">в) оценка надёжности систем теплоснабжения в целом. Общая оценка надёжности системы теплоснабжения определяется исходя из оценок надёжности источников тепловой энергии и тепловых сетей: </w:t>
      </w:r>
    </w:p>
    <w:p w14:paraId="471D63AE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>
        <w:rPr>
          <w:noProof/>
          <w:lang w:bidi="ar-SA"/>
        </w:rPr>
        <w:drawing>
          <wp:anchor distT="0" distB="0" distL="114300" distR="114300" simplePos="0" relativeHeight="251659264" behindDoc="1" locked="0" layoutInCell="1" allowOverlap="1" wp14:anchorId="218D6967" wp14:editId="49114AE4">
            <wp:simplePos x="0" y="0"/>
            <wp:positionH relativeFrom="column">
              <wp:posOffset>668116</wp:posOffset>
            </wp:positionH>
            <wp:positionV relativeFrom="paragraph">
              <wp:posOffset>8255</wp:posOffset>
            </wp:positionV>
            <wp:extent cx="5285740" cy="629285"/>
            <wp:effectExtent l="0" t="0" r="0" b="0"/>
            <wp:wrapTight wrapText="bothSides">
              <wp:wrapPolygon edited="0">
                <wp:start x="0" y="0"/>
                <wp:lineTo x="0" y="20924"/>
                <wp:lineTo x="21486" y="20924"/>
                <wp:lineTo x="21486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85" t="53556" r="32486" b="39748"/>
                    <a:stretch/>
                  </pic:blipFill>
                  <pic:spPr bwMode="auto">
                    <a:xfrm>
                      <a:off x="0" y="0"/>
                      <a:ext cx="5285740" cy="629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85ED57" w14:textId="77777777" w:rsidR="00D20436" w:rsidRDefault="00D20436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</w:p>
    <w:p w14:paraId="25EF085C" w14:textId="77777777" w:rsidR="00D2284D" w:rsidRPr="00D2284D" w:rsidRDefault="00D2284D" w:rsidP="00D2284D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D2284D">
        <w:rPr>
          <w:b w:val="0"/>
        </w:rPr>
        <w:t>Общая оценка надёжности системы теплоснабжения определяется как наихудшая из оценок надёжности источников тепловой энергии и тепловых сетей.</w:t>
      </w:r>
    </w:p>
    <w:p w14:paraId="5E207E86" w14:textId="77777777" w:rsidR="001E6EA8" w:rsidRPr="00790C42" w:rsidRDefault="00722603" w:rsidP="00790C42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5" w:name="bookmark1"/>
      <w:bookmarkStart w:id="6" w:name="_Toc53615748"/>
      <w:bookmarkEnd w:id="3"/>
      <w:bookmarkEnd w:id="4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t>Перспективные показатели, определяемые приведенной продолжительностью прекращений подачи тепловой энергии</w:t>
      </w:r>
      <w:bookmarkEnd w:id="5"/>
      <w:bookmarkEnd w:id="6"/>
    </w:p>
    <w:p w14:paraId="1FA2B100" w14:textId="77777777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790C42">
        <w:rPr>
          <w:b w:val="0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 в таблице 1.</w:t>
      </w:r>
    </w:p>
    <w:p w14:paraId="3F6D0A11" w14:textId="7633BA00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580"/>
        <w:jc w:val="both"/>
        <w:rPr>
          <w:b w:val="0"/>
        </w:rPr>
      </w:pPr>
      <w:r w:rsidRPr="00790C42">
        <w:rPr>
          <w:b w:val="0"/>
        </w:rPr>
        <w:t xml:space="preserve">Перспективные показатели надежности, определяемые приведенной продолжительностью прекращений подачи тепловой энергии, учитываются при расчете показателя: «Показатель относительного аварийного </w:t>
      </w:r>
      <w:proofErr w:type="spellStart"/>
      <w:r w:rsidRPr="00790C42">
        <w:rPr>
          <w:b w:val="0"/>
        </w:rPr>
        <w:t>недоотпуска</w:t>
      </w:r>
      <w:proofErr w:type="spellEnd"/>
      <w:r w:rsidRPr="00790C42">
        <w:rPr>
          <w:b w:val="0"/>
        </w:rPr>
        <w:t xml:space="preserve"> тепла». С достаточной степенью точности спрогнозировать количество нарушений в подаче тепловой энергии (и время их ликвидации) к окончанию расчетного периода разработки Схемы теплоснабжения </w:t>
      </w:r>
      <w:proofErr w:type="spellStart"/>
      <w:r w:rsidR="00E4609A">
        <w:rPr>
          <w:b w:val="0"/>
        </w:rPr>
        <w:t>Завьяловского</w:t>
      </w:r>
      <w:proofErr w:type="spellEnd"/>
      <w:r w:rsidR="00E4609A">
        <w:rPr>
          <w:b w:val="0"/>
        </w:rPr>
        <w:t xml:space="preserve"> района</w:t>
      </w:r>
      <w:r w:rsidRPr="00790C42">
        <w:rPr>
          <w:b w:val="0"/>
        </w:rPr>
        <w:t xml:space="preserve"> невозможно. Расчет данных показателей произведен, исходя из следующих предположений:</w:t>
      </w:r>
    </w:p>
    <w:p w14:paraId="55280970" w14:textId="0DED8546" w:rsidR="001E6EA8" w:rsidRPr="00790C42" w:rsidRDefault="00722603">
      <w:pPr>
        <w:pStyle w:val="20"/>
        <w:numPr>
          <w:ilvl w:val="0"/>
          <w:numId w:val="6"/>
        </w:numPr>
        <w:shd w:val="clear" w:color="auto" w:fill="auto"/>
        <w:tabs>
          <w:tab w:val="left" w:pos="996"/>
        </w:tabs>
        <w:spacing w:before="0" w:after="0" w:line="413" w:lineRule="exact"/>
        <w:ind w:firstLine="580"/>
        <w:jc w:val="both"/>
        <w:rPr>
          <w:b w:val="0"/>
        </w:rPr>
      </w:pPr>
      <w:r w:rsidRPr="00790C42">
        <w:rPr>
          <w:b w:val="0"/>
        </w:rPr>
        <w:t xml:space="preserve">При условии реализации мероприятий по перекладке ветхих тепловых сетей, предусмотренных Схемой теплоснабжения </w:t>
      </w:r>
      <w:proofErr w:type="spellStart"/>
      <w:r w:rsidR="00E4609A">
        <w:rPr>
          <w:b w:val="0"/>
        </w:rPr>
        <w:t>Завьяловского</w:t>
      </w:r>
      <w:proofErr w:type="spellEnd"/>
      <w:r w:rsidR="00E4609A">
        <w:rPr>
          <w:b w:val="0"/>
        </w:rPr>
        <w:t xml:space="preserve"> района</w:t>
      </w:r>
      <w:r w:rsidRPr="00790C42">
        <w:rPr>
          <w:b w:val="0"/>
        </w:rPr>
        <w:t xml:space="preserve">, </w:t>
      </w:r>
      <w:r w:rsidR="00E4609A">
        <w:rPr>
          <w:b w:val="0"/>
        </w:rPr>
        <w:t>позволит предотвратить появление аварийных ситуаций</w:t>
      </w:r>
      <w:r w:rsidRPr="00790C42">
        <w:rPr>
          <w:b w:val="0"/>
        </w:rPr>
        <w:t>;</w:t>
      </w:r>
    </w:p>
    <w:p w14:paraId="7BFEF0AA" w14:textId="77777777" w:rsidR="001E6EA8" w:rsidRPr="00790C42" w:rsidRDefault="00722603">
      <w:pPr>
        <w:pStyle w:val="20"/>
        <w:numPr>
          <w:ilvl w:val="0"/>
          <w:numId w:val="6"/>
        </w:numPr>
        <w:shd w:val="clear" w:color="auto" w:fill="auto"/>
        <w:tabs>
          <w:tab w:val="left" w:pos="996"/>
        </w:tabs>
        <w:spacing w:before="0" w:after="0" w:line="413" w:lineRule="exact"/>
        <w:ind w:firstLine="580"/>
        <w:jc w:val="both"/>
        <w:rPr>
          <w:b w:val="0"/>
        </w:rPr>
      </w:pPr>
      <w:r w:rsidRPr="00790C42">
        <w:rPr>
          <w:b w:val="0"/>
        </w:rPr>
        <w:t>Аварийных ситуаций, как и в настоящее время, в системах теплоснабжения происходить не будет; отказами будут являться незначительные инциденты, которые не приводят к длительным ограничениям или отключениям подачи тепловой энергии потребителям;</w:t>
      </w:r>
    </w:p>
    <w:p w14:paraId="7E63A7EF" w14:textId="77777777" w:rsidR="001E6EA8" w:rsidRPr="00790C42" w:rsidRDefault="00722603">
      <w:pPr>
        <w:pStyle w:val="20"/>
        <w:numPr>
          <w:ilvl w:val="0"/>
          <w:numId w:val="6"/>
        </w:numPr>
        <w:shd w:val="clear" w:color="auto" w:fill="auto"/>
        <w:tabs>
          <w:tab w:val="left" w:pos="996"/>
        </w:tabs>
        <w:spacing w:before="0" w:after="0" w:line="413" w:lineRule="exact"/>
        <w:ind w:firstLine="580"/>
        <w:jc w:val="both"/>
        <w:rPr>
          <w:b w:val="0"/>
        </w:rPr>
      </w:pPr>
      <w:r w:rsidRPr="00790C42">
        <w:rPr>
          <w:b w:val="0"/>
        </w:rPr>
        <w:t>Время, затрачиваемое на ликвидацию инцидента, не будет превышать нормативных значений;</w:t>
      </w:r>
    </w:p>
    <w:p w14:paraId="502E7788" w14:textId="77777777" w:rsidR="001E6EA8" w:rsidRPr="00790C42" w:rsidRDefault="00722603">
      <w:pPr>
        <w:pStyle w:val="20"/>
        <w:numPr>
          <w:ilvl w:val="0"/>
          <w:numId w:val="6"/>
        </w:numPr>
        <w:shd w:val="clear" w:color="auto" w:fill="auto"/>
        <w:tabs>
          <w:tab w:val="left" w:pos="996"/>
        </w:tabs>
        <w:spacing w:before="0" w:after="0" w:line="413" w:lineRule="exact"/>
        <w:ind w:firstLine="580"/>
        <w:jc w:val="both"/>
        <w:rPr>
          <w:b w:val="0"/>
        </w:rPr>
        <w:sectPr w:rsidR="001E6EA8" w:rsidRPr="00790C42" w:rsidSect="00C93639">
          <w:headerReference w:type="even" r:id="rId23"/>
          <w:headerReference w:type="default" r:id="rId24"/>
          <w:footerReference w:type="default" r:id="rId25"/>
          <w:headerReference w:type="first" r:id="rId26"/>
          <w:pgSz w:w="11900" w:h="16840"/>
          <w:pgMar w:top="1440" w:right="1080" w:bottom="1440" w:left="108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docGrid w:linePitch="360"/>
        </w:sectPr>
      </w:pPr>
      <w:r w:rsidRPr="00790C42">
        <w:rPr>
          <w:b w:val="0"/>
        </w:rPr>
        <w:t>Представленные выше факторы приведут к отсутствию неудовлетворенности потребителей тепловой энергии централизованным теплоснабжением, т.е. количество жалоб на работу теплоснабжающих организаций будет равно 0.</w:t>
      </w:r>
    </w:p>
    <w:p w14:paraId="21AC720D" w14:textId="77777777" w:rsidR="001E6EA8" w:rsidRPr="00790C42" w:rsidRDefault="00722603" w:rsidP="00790C42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7" w:name="bookmark2"/>
      <w:bookmarkStart w:id="8" w:name="_Toc53615749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Перспективные показатели, определяемые приведенным объемом </w:t>
      </w:r>
      <w:proofErr w:type="spellStart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t>недоотпуска</w:t>
      </w:r>
      <w:proofErr w:type="spellEnd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t xml:space="preserve"> тепла в результате нарушений в подаче</w:t>
      </w:r>
      <w:bookmarkEnd w:id="7"/>
      <w:r w:rsidR="00790C42" w:rsidRPr="00790C42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t>тепловой энергии</w:t>
      </w:r>
      <w:bookmarkEnd w:id="8"/>
    </w:p>
    <w:p w14:paraId="6FA027CC" w14:textId="77777777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 в таблице 1.</w:t>
      </w:r>
    </w:p>
    <w:p w14:paraId="6E23BD76" w14:textId="0282ADDD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 xml:space="preserve">Перспективные показатели надежности, определяемые приведенным объемом </w:t>
      </w:r>
      <w:proofErr w:type="spellStart"/>
      <w:r w:rsidRPr="00790C42">
        <w:rPr>
          <w:b w:val="0"/>
        </w:rPr>
        <w:t>недоотпуска</w:t>
      </w:r>
      <w:proofErr w:type="spellEnd"/>
      <w:r w:rsidRPr="00790C42">
        <w:rPr>
          <w:b w:val="0"/>
        </w:rPr>
        <w:t xml:space="preserve"> тепла в результате нарушений в подаче тепловой энергии, учитываются при расчете показателя «Показатель относительного аварийного </w:t>
      </w:r>
      <w:proofErr w:type="spellStart"/>
      <w:r w:rsidRPr="00790C42">
        <w:rPr>
          <w:b w:val="0"/>
        </w:rPr>
        <w:t>недоотпуска</w:t>
      </w:r>
      <w:proofErr w:type="spellEnd"/>
      <w:r w:rsidRPr="00790C42">
        <w:rPr>
          <w:b w:val="0"/>
        </w:rPr>
        <w:t xml:space="preserve"> тепла». С достаточной степенью точности спрогнозировать величину </w:t>
      </w:r>
      <w:proofErr w:type="spellStart"/>
      <w:r w:rsidRPr="00790C42">
        <w:rPr>
          <w:b w:val="0"/>
        </w:rPr>
        <w:t>недоотпуска</w:t>
      </w:r>
      <w:proofErr w:type="spellEnd"/>
      <w:r w:rsidRPr="00790C42">
        <w:rPr>
          <w:b w:val="0"/>
        </w:rPr>
        <w:t xml:space="preserve"> тепловой энергии потребителям к окончанию расчетного периода разработки Схемы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 невозможно. Расчет данного показателя произведен, исходя из следующих предположений:</w:t>
      </w:r>
    </w:p>
    <w:p w14:paraId="6C28378C" w14:textId="13D62C6A" w:rsidR="001E6EA8" w:rsidRPr="00790C42" w:rsidRDefault="00722603">
      <w:pPr>
        <w:pStyle w:val="20"/>
        <w:numPr>
          <w:ilvl w:val="0"/>
          <w:numId w:val="7"/>
        </w:numPr>
        <w:shd w:val="clear" w:color="auto" w:fill="auto"/>
        <w:tabs>
          <w:tab w:val="left" w:pos="997"/>
        </w:tabs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 xml:space="preserve">При условии реализации мероприятий по перекладке ветхих тепловых сетей, предусмотренных Схемой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, </w:t>
      </w:r>
      <w:r w:rsidR="004D7A75">
        <w:rPr>
          <w:b w:val="0"/>
        </w:rPr>
        <w:t xml:space="preserve">удастся предотвратить или свести до минимума </w:t>
      </w:r>
      <w:r w:rsidRPr="00790C42">
        <w:rPr>
          <w:b w:val="0"/>
        </w:rPr>
        <w:t>количество отказов на тепловых сетях;</w:t>
      </w:r>
    </w:p>
    <w:p w14:paraId="5DE7F469" w14:textId="77777777" w:rsidR="001E6EA8" w:rsidRPr="00790C42" w:rsidRDefault="00722603">
      <w:pPr>
        <w:pStyle w:val="20"/>
        <w:numPr>
          <w:ilvl w:val="0"/>
          <w:numId w:val="7"/>
        </w:numPr>
        <w:shd w:val="clear" w:color="auto" w:fill="auto"/>
        <w:tabs>
          <w:tab w:val="left" w:pos="997"/>
        </w:tabs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>Аварийных ситуаций, как и в настоящее время, в системах теплоснабжения происходить не будет; отказами будут являться незначительные инциденты, которые не приводят к длительным и серьезным ограничениям или отключениям подачи тепловой энергии потребителям;</w:t>
      </w:r>
    </w:p>
    <w:p w14:paraId="26985868" w14:textId="77777777" w:rsidR="001E6EA8" w:rsidRPr="00790C42" w:rsidRDefault="00722603">
      <w:pPr>
        <w:pStyle w:val="20"/>
        <w:numPr>
          <w:ilvl w:val="0"/>
          <w:numId w:val="7"/>
        </w:numPr>
        <w:shd w:val="clear" w:color="auto" w:fill="auto"/>
        <w:tabs>
          <w:tab w:val="left" w:pos="997"/>
        </w:tabs>
        <w:spacing w:before="0" w:after="0" w:line="413" w:lineRule="exact"/>
        <w:ind w:firstLine="600"/>
        <w:jc w:val="both"/>
        <w:rPr>
          <w:b w:val="0"/>
        </w:rPr>
        <w:sectPr w:rsidR="001E6EA8" w:rsidRPr="00790C42" w:rsidSect="00C93639">
          <w:pgSz w:w="11900" w:h="16840"/>
          <w:pgMar w:top="1440" w:right="1080" w:bottom="1440" w:left="108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docGrid w:linePitch="360"/>
        </w:sectPr>
      </w:pPr>
      <w:r w:rsidRPr="00790C42">
        <w:rPr>
          <w:b w:val="0"/>
        </w:rPr>
        <w:t>Время, затрачиваемое на ликвидацию инцидента, не будет превышать нормативных значений.</w:t>
      </w:r>
    </w:p>
    <w:p w14:paraId="3D8455B6" w14:textId="77777777" w:rsidR="001E6EA8" w:rsidRPr="00790C42" w:rsidRDefault="00722603" w:rsidP="00790C42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9" w:name="_Toc53615750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Перспективные 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</w:t>
      </w:r>
      <w:bookmarkEnd w:id="9"/>
    </w:p>
    <w:p w14:paraId="18D90F58" w14:textId="77777777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 в таблице 1.</w:t>
      </w:r>
    </w:p>
    <w:p w14:paraId="5A2E6FD8" w14:textId="43026DE7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 xml:space="preserve">Перспективные показатели надежности,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энергии, учитываются при расчете показателя «Показатель относительного аварийного </w:t>
      </w:r>
      <w:proofErr w:type="spellStart"/>
      <w:r w:rsidRPr="00790C42">
        <w:rPr>
          <w:b w:val="0"/>
        </w:rPr>
        <w:t>недоотпуска</w:t>
      </w:r>
      <w:proofErr w:type="spellEnd"/>
      <w:r w:rsidRPr="00790C42">
        <w:rPr>
          <w:b w:val="0"/>
        </w:rPr>
        <w:t xml:space="preserve"> тепла». С достаточной степенью точности спрогнозировать количество нарушений в подаче тепловой энергии (и время их ликвидации) к окончанию расчетного периода разработки Схемы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 невозможно. Расчет данных показателей произведен, исходя из следующих предположений:</w:t>
      </w:r>
    </w:p>
    <w:p w14:paraId="4285993F" w14:textId="01DDBF25" w:rsidR="001E6EA8" w:rsidRPr="00790C42" w:rsidRDefault="00722603">
      <w:pPr>
        <w:pStyle w:val="20"/>
        <w:numPr>
          <w:ilvl w:val="0"/>
          <w:numId w:val="8"/>
        </w:numPr>
        <w:shd w:val="clear" w:color="auto" w:fill="auto"/>
        <w:tabs>
          <w:tab w:val="left" w:pos="996"/>
        </w:tabs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 xml:space="preserve">При условии реализации мероприятий по перекладке ветхих тепловых сетей, предусмотренных Схемой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, </w:t>
      </w:r>
      <w:r w:rsidR="004D7A75">
        <w:rPr>
          <w:b w:val="0"/>
        </w:rPr>
        <w:t xml:space="preserve">удастся предотвратить или свести до минимума </w:t>
      </w:r>
      <w:r w:rsidR="004D7A75" w:rsidRPr="00790C42">
        <w:rPr>
          <w:b w:val="0"/>
        </w:rPr>
        <w:t>количество отказов на тепловых сетях</w:t>
      </w:r>
      <w:r w:rsidRPr="00790C42">
        <w:rPr>
          <w:b w:val="0"/>
        </w:rPr>
        <w:t>;</w:t>
      </w:r>
    </w:p>
    <w:p w14:paraId="1A54CF52" w14:textId="77777777" w:rsidR="001E6EA8" w:rsidRPr="00790C42" w:rsidRDefault="00722603">
      <w:pPr>
        <w:pStyle w:val="20"/>
        <w:numPr>
          <w:ilvl w:val="0"/>
          <w:numId w:val="8"/>
        </w:numPr>
        <w:shd w:val="clear" w:color="auto" w:fill="auto"/>
        <w:tabs>
          <w:tab w:val="left" w:pos="996"/>
        </w:tabs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>Аварийных ситуаций, как и в настоящее время, в системах теплоснабжения происходить не будет; отказами будут являться незначительные инциденты, которые не приводят к длительным и серьезным ограничениям или отключениям подачи тепловой энергии потребителям;</w:t>
      </w:r>
    </w:p>
    <w:p w14:paraId="42A23091" w14:textId="77777777" w:rsidR="001E6EA8" w:rsidRPr="00790C42" w:rsidRDefault="00722603">
      <w:pPr>
        <w:pStyle w:val="20"/>
        <w:numPr>
          <w:ilvl w:val="0"/>
          <w:numId w:val="8"/>
        </w:numPr>
        <w:shd w:val="clear" w:color="auto" w:fill="auto"/>
        <w:tabs>
          <w:tab w:val="left" w:pos="996"/>
        </w:tabs>
        <w:spacing w:before="0" w:after="0" w:line="413" w:lineRule="exact"/>
        <w:ind w:firstLine="600"/>
        <w:jc w:val="both"/>
        <w:rPr>
          <w:b w:val="0"/>
        </w:rPr>
      </w:pPr>
      <w:r w:rsidRPr="00790C42">
        <w:rPr>
          <w:b w:val="0"/>
        </w:rPr>
        <w:t>Время, затрачиваемое на ликвидацию инцидента, не будет превышать нормативных значений;</w:t>
      </w:r>
    </w:p>
    <w:p w14:paraId="632DF1DB" w14:textId="77777777" w:rsidR="001E6EA8" w:rsidRPr="00790C42" w:rsidRDefault="00722603">
      <w:pPr>
        <w:pStyle w:val="20"/>
        <w:numPr>
          <w:ilvl w:val="0"/>
          <w:numId w:val="8"/>
        </w:numPr>
        <w:shd w:val="clear" w:color="auto" w:fill="auto"/>
        <w:tabs>
          <w:tab w:val="left" w:pos="996"/>
        </w:tabs>
        <w:spacing w:before="0" w:after="0" w:line="413" w:lineRule="exact"/>
        <w:ind w:firstLine="600"/>
        <w:jc w:val="both"/>
        <w:rPr>
          <w:b w:val="0"/>
        </w:rPr>
        <w:sectPr w:rsidR="001E6EA8" w:rsidRPr="00790C42" w:rsidSect="00C93639">
          <w:pgSz w:w="11900" w:h="16840"/>
          <w:pgMar w:top="1440" w:right="1080" w:bottom="1440" w:left="108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docGrid w:linePitch="360"/>
        </w:sectPr>
      </w:pPr>
      <w:r w:rsidRPr="00790C42">
        <w:rPr>
          <w:b w:val="0"/>
        </w:rPr>
        <w:t>Представленные выше факторы приведут к отсутствию неудовлетворенности потребителей тепловой энергии централизованным теплоснабжением, т.е. количество жалоб на работу теплоснабжающих организаций будет равно 0.</w:t>
      </w:r>
    </w:p>
    <w:p w14:paraId="74A44DD3" w14:textId="77777777" w:rsidR="001E6EA8" w:rsidRPr="00790C42" w:rsidRDefault="00722603" w:rsidP="00790C42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0" w:name="_Toc53615751"/>
      <w:r w:rsidRPr="00790C42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Результаты расчета перспективных показателей надежности</w:t>
      </w:r>
      <w:bookmarkEnd w:id="10"/>
    </w:p>
    <w:p w14:paraId="5E4A8DBD" w14:textId="11676CCB" w:rsidR="001E6EA8" w:rsidRPr="00790C42" w:rsidRDefault="00722603">
      <w:pPr>
        <w:pStyle w:val="20"/>
        <w:shd w:val="clear" w:color="auto" w:fill="auto"/>
        <w:spacing w:before="0" w:after="0" w:line="413" w:lineRule="exact"/>
        <w:ind w:firstLine="600"/>
        <w:jc w:val="left"/>
        <w:rPr>
          <w:b w:val="0"/>
        </w:rPr>
      </w:pPr>
      <w:r w:rsidRPr="00790C42">
        <w:rPr>
          <w:b w:val="0"/>
        </w:rPr>
        <w:t xml:space="preserve">Показатели надежности каждой системы теплоснабжения к окончанию расчетного периода </w:t>
      </w:r>
      <w:r w:rsidR="004D7A75">
        <w:rPr>
          <w:b w:val="0"/>
        </w:rPr>
        <w:t>действия</w:t>
      </w:r>
      <w:r w:rsidRPr="00790C42">
        <w:rPr>
          <w:b w:val="0"/>
        </w:rPr>
        <w:t xml:space="preserve"> Схемы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 представлены в таблице ниже.</w:t>
      </w:r>
    </w:p>
    <w:p w14:paraId="6D2C6FB0" w14:textId="45B17643" w:rsidR="001E6EA8" w:rsidRDefault="00722603">
      <w:pPr>
        <w:pStyle w:val="20"/>
        <w:shd w:val="clear" w:color="auto" w:fill="auto"/>
        <w:spacing w:before="0" w:after="0" w:line="413" w:lineRule="exact"/>
        <w:ind w:firstLine="740"/>
        <w:jc w:val="both"/>
        <w:rPr>
          <w:b w:val="0"/>
        </w:rPr>
      </w:pPr>
      <w:r w:rsidRPr="00790C42">
        <w:rPr>
          <w:b w:val="0"/>
        </w:rPr>
        <w:t xml:space="preserve">Общий показатель надежности системы теплоснабжения города на расчетный срок </w:t>
      </w:r>
      <w:r w:rsidRPr="004D7A75">
        <w:rPr>
          <w:b w:val="0"/>
          <w:highlight w:val="red"/>
        </w:rPr>
        <w:t>составит 0,81, что сохранит показатель надежности по существующему положению - 0,81.</w:t>
      </w:r>
      <w:r w:rsidRPr="00790C42">
        <w:rPr>
          <w:b w:val="0"/>
        </w:rPr>
        <w:t xml:space="preserve"> Увеличение численного значения показателя надежности будет являться следствием повышения надежности тепловых сетей за счет перекладки ветхих теплопроводов, а также реконструкции котельных с заменой изношенного оборудования. Перспективное значение позволит классифицировать системы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  <w:r w:rsidRPr="00790C42">
        <w:rPr>
          <w:b w:val="0"/>
        </w:rPr>
        <w:t xml:space="preserve">, </w:t>
      </w:r>
      <w:r w:rsidRPr="004D7A75">
        <w:rPr>
          <w:b w:val="0"/>
          <w:highlight w:val="red"/>
        </w:rPr>
        <w:t>как «надежные».</w:t>
      </w:r>
    </w:p>
    <w:p w14:paraId="5CC59F95" w14:textId="77777777" w:rsidR="00394EE7" w:rsidRDefault="00394EE7">
      <w:pPr>
        <w:pStyle w:val="20"/>
        <w:shd w:val="clear" w:color="auto" w:fill="auto"/>
        <w:spacing w:before="0" w:after="0" w:line="413" w:lineRule="exact"/>
        <w:ind w:firstLine="740"/>
        <w:jc w:val="both"/>
        <w:rPr>
          <w:b w:val="0"/>
        </w:rPr>
      </w:pPr>
    </w:p>
    <w:p w14:paraId="2487FFA8" w14:textId="05748CFE" w:rsidR="00394EE7" w:rsidRPr="00790C42" w:rsidRDefault="00394EE7">
      <w:pPr>
        <w:pStyle w:val="20"/>
        <w:shd w:val="clear" w:color="auto" w:fill="auto"/>
        <w:spacing w:before="0" w:after="0" w:line="413" w:lineRule="exact"/>
        <w:ind w:firstLine="740"/>
        <w:jc w:val="both"/>
        <w:rPr>
          <w:b w:val="0"/>
        </w:rPr>
        <w:sectPr w:rsidR="00394EE7" w:rsidRPr="00790C42" w:rsidSect="00C93639">
          <w:pgSz w:w="11900" w:h="16840"/>
          <w:pgMar w:top="1440" w:right="1080" w:bottom="1440" w:left="108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docGrid w:linePitch="360"/>
        </w:sectPr>
      </w:pPr>
      <w:r>
        <w:rPr>
          <w:b w:val="0"/>
        </w:rPr>
        <w:t xml:space="preserve">Таблица 1- Показатели надежности системы теплоснабжения </w:t>
      </w:r>
      <w:proofErr w:type="spellStart"/>
      <w:r w:rsidR="004D7A75">
        <w:rPr>
          <w:b w:val="0"/>
        </w:rPr>
        <w:t>Завьяловского</w:t>
      </w:r>
      <w:proofErr w:type="spellEnd"/>
      <w:r w:rsidR="004D7A75">
        <w:rPr>
          <w:b w:val="0"/>
        </w:rPr>
        <w:t xml:space="preserve"> района</w:t>
      </w:r>
    </w:p>
    <w:tbl>
      <w:tblPr>
        <w:tblW w:w="19540" w:type="dxa"/>
        <w:jc w:val="center"/>
        <w:tblLook w:val="04A0" w:firstRow="1" w:lastRow="0" w:firstColumn="1" w:lastColumn="0" w:noHBand="0" w:noVBand="1"/>
      </w:tblPr>
      <w:tblGrid>
        <w:gridCol w:w="445"/>
        <w:gridCol w:w="1711"/>
        <w:gridCol w:w="2032"/>
        <w:gridCol w:w="1433"/>
        <w:gridCol w:w="533"/>
        <w:gridCol w:w="538"/>
        <w:gridCol w:w="536"/>
        <w:gridCol w:w="536"/>
        <w:gridCol w:w="538"/>
        <w:gridCol w:w="533"/>
        <w:gridCol w:w="813"/>
        <w:gridCol w:w="1028"/>
        <w:gridCol w:w="546"/>
        <w:gridCol w:w="1532"/>
        <w:gridCol w:w="1409"/>
        <w:gridCol w:w="1436"/>
        <w:gridCol w:w="1266"/>
        <w:gridCol w:w="1266"/>
        <w:gridCol w:w="1409"/>
      </w:tblGrid>
      <w:tr w:rsidR="00574474" w:rsidRPr="00574474" w14:paraId="783415AD" w14:textId="77777777" w:rsidTr="00CF774F">
        <w:trPr>
          <w:trHeight w:val="990"/>
          <w:tblHeader/>
          <w:jc w:val="center"/>
        </w:trPr>
        <w:tc>
          <w:tcPr>
            <w:tcW w:w="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34BD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lastRenderedPageBreak/>
              <w:t>№ п/п</w:t>
            </w:r>
          </w:p>
        </w:tc>
        <w:tc>
          <w:tcPr>
            <w:tcW w:w="15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1929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Территориальная зона</w:t>
            </w:r>
          </w:p>
        </w:tc>
        <w:tc>
          <w:tcPr>
            <w:tcW w:w="21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344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Наименование котельной</w:t>
            </w:r>
          </w:p>
        </w:tc>
        <w:tc>
          <w:tcPr>
            <w:tcW w:w="14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01D1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Адрес котельной</w:t>
            </w:r>
          </w:p>
        </w:tc>
        <w:tc>
          <w:tcPr>
            <w:tcW w:w="55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951F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Показатель надежности системы теплоснабжения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9B98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Основной показатель надёжности системы теплоснабжения, К над</w:t>
            </w:r>
          </w:p>
        </w:tc>
        <w:tc>
          <w:tcPr>
            <w:tcW w:w="1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E8F1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Категория надёжности системы теплоснабжения</w:t>
            </w:r>
          </w:p>
        </w:tc>
        <w:tc>
          <w:tcPr>
            <w:tcW w:w="1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4172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Оценка надежности системы теплоснабжения источника</w:t>
            </w:r>
          </w:p>
        </w:tc>
        <w:tc>
          <w:tcPr>
            <w:tcW w:w="13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A37F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 xml:space="preserve">Показатель надежности тепловых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сетей,Ктс</w:t>
            </w:r>
            <w:proofErr w:type="spellEnd"/>
          </w:p>
        </w:tc>
        <w:tc>
          <w:tcPr>
            <w:tcW w:w="13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2136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Оценка надежности тепловых сетей</w:t>
            </w:r>
          </w:p>
        </w:tc>
        <w:tc>
          <w:tcPr>
            <w:tcW w:w="1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EA53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Общая оценка надежности систем теплоснабжения города</w:t>
            </w:r>
          </w:p>
        </w:tc>
      </w:tr>
      <w:tr w:rsidR="00574474" w:rsidRPr="00574474" w14:paraId="44DA1FC3" w14:textId="77777777" w:rsidTr="00CF774F">
        <w:trPr>
          <w:trHeight w:val="870"/>
          <w:tblHeader/>
          <w:jc w:val="center"/>
        </w:trPr>
        <w:tc>
          <w:tcPr>
            <w:tcW w:w="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075A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D44A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EB59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4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97D1C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15C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Кэ</w:t>
            </w:r>
            <w:proofErr w:type="spellEnd"/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3F02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Кв</w:t>
            </w:r>
            <w:proofErr w:type="spellEnd"/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1F71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Кт</w:t>
            </w:r>
            <w:proofErr w:type="spellEnd"/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11A2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Кб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51A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Кр</w:t>
            </w:r>
            <w:proofErr w:type="spellEnd"/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7C37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Кс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2B2E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Котк.тс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.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524E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Кнед.тепла</w:t>
            </w:r>
            <w:proofErr w:type="spellEnd"/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475A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Кж</w:t>
            </w:r>
            <w:proofErr w:type="spellEnd"/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14335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3C180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7395B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3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39C5F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3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2AAE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  <w:tc>
          <w:tcPr>
            <w:tcW w:w="1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310D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</w:p>
        </w:tc>
      </w:tr>
      <w:tr w:rsidR="00574474" w:rsidRPr="00574474" w14:paraId="719F03D4" w14:textId="77777777" w:rsidTr="00574474">
        <w:trPr>
          <w:trHeight w:val="120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147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FDDA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Вараксинское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82CC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Центральная котельная №1 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Вараксино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9F28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Территория ООО «Птицефабрика 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Вараксино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»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992B82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27029A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9BA8C2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A5FA04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50F59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A7D08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FB827C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C99C25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78341E" w14:textId="77777777" w:rsidR="00574474" w:rsidRPr="00574474" w:rsidRDefault="00574474" w:rsidP="00574474">
            <w:pPr>
              <w:widowControl/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</w:pPr>
            <w:r w:rsidRPr="00574474">
              <w:rPr>
                <w:rFonts w:ascii="Calibri" w:eastAsia="Times New Roman" w:hAnsi="Calibri" w:cs="Calibri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46CB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A9D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E60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EDED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7164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D67A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C038080" w14:textId="77777777" w:rsidTr="00574474">
        <w:trPr>
          <w:trHeight w:val="45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2CDC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C5B1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Гольянское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0B7C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ТКУ-650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685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Гольяны,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ул.Советская</w:t>
            </w:r>
            <w:proofErr w:type="spellEnd"/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42C5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6ECB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4F0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33A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37DF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3A4F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BD7A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D895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AE71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0030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1A4D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DE9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952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CF3B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DDF7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7F0B590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569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D37C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Завьяловское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1E4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РТП 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545AAAF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Завьялово ул. Азина13/1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E0E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EF58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E4A0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AF6D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C591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B00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7F3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AED7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579B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B99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FA7C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404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5934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010D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2E03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7A59BA1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721A6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6B80AA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3C9C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РАЙПО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74D0D73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Завьялово ул. Калинина 5а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C75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DF21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DC07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C5F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E2C6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A60A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BD76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EBA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619D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B0AB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75A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53E8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B76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9D9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8A88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6F19A78F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05AD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A8EE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9EE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Россия 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180599B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Завьялово ул. Прудовая 34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5D4A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ABD8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5F60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B57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84D6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F290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6215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94BE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307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01D1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8BBF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EFC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C35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5B50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E979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39F548B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E0BF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5DD5A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B2A9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ЦРБ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71FE779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Завьялово ул.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Гольянская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 1б/1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DC7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6B9F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854C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924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22E7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D16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23C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D733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A89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7297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F62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E036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5515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E8F6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F8A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2773EEA" w14:textId="77777777" w:rsidTr="00574474">
        <w:trPr>
          <w:trHeight w:val="30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B082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487BA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7AFF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ТКУ-1000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05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Завьялово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F5C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F924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C3BB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A8CC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69C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8490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5D3A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586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89A3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179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ECD7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E193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92C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E411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48A3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8F6AE19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576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5FD3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Казмасское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F246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в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Н.Казмаска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3867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Н.Казмаска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Азина, 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9516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59B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E688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E08A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F765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BC8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597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98C8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216E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5644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5A3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5DBA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919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67B2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06C4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01229DC" w14:textId="77777777" w:rsidTr="00574474">
        <w:trPr>
          <w:trHeight w:val="675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1A170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B33E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32C8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животноводческого комплекса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7EF07B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Н.Казмаска</w:t>
            </w:r>
            <w:proofErr w:type="spellEnd"/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0886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D31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85F8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5F67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C27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6A95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B22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6EFE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D5D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BC0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AE44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459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E4BC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DDB2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E04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715512AF" w14:textId="77777777" w:rsidTr="00574474">
        <w:trPr>
          <w:trHeight w:val="45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CA81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8C1D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Бабинское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1F0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с. Бабино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0BDA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Бабино, ул. Центральная, 1а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914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721D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B330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0F38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C2C8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636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984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91B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93AF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6BB9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8593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465E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5581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0F45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9CDB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E6A8F14" w14:textId="77777777" w:rsidTr="00574474">
        <w:trPr>
          <w:trHeight w:val="120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AA86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C4A5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Италмасовское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BF4C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Италмас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A00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Италмас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тер. свинокомплекса ООО «Восточный»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E83A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C75E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4048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E47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7081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EB71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2F1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7111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8A2C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AC32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D94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40EF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EF42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F8A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5E3A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824F94B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FA1D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7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0C26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МО «Каменское»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F72B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д. Каменное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19D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д. Каменное, ул. Молодежная, 2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1318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4C0A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FDFF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0365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25EA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5465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7669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8A96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7540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075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7145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3FEC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1384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A14D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DD29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7D3DCBD3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C978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CEC5E0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A116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ТКУ-380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B170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Ст.Чультем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, ул.Весенняя,69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03E1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BCA0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36E0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0CE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CC55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B002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1D3E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A0E0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8A0E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1622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07B9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32E5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6C1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6BD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70D8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B48CBCE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1662C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97E0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4966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ТКУ-300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BC32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д. Каменное, ул. Школьная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B0DD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F5E1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9F99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8F0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1908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3A4F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CDB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5A96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FE60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9453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0DC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5152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A167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DD3F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A602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0EEB95B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F8AD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ED8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Кияикское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120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ТКУ-1200 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Азино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0ED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Азино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,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ул.Штабная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5а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2FC6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9B43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36F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04DF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CAC5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C5FB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1E99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A4EF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369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876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D152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1FB2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CA33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D661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271A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4AD7248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9BFFB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56FDEA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7CC0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ТКУ-1000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Б.Кияик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C0AF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Б.Кияик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Советская, 7б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D12A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051D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FF35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7AC8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248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71C9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FFF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92C4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F7E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6939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9A0D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C1F1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0832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531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6523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686A08F6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60D9E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561F4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BBBB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БСУ СО УР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Синтекский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 ПНИ»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6EED088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Кияик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C69C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399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9FCF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9BDF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A3FD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100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BEB1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7B1E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0696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915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60A8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F9C1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3E2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84DD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FBA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51BB872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E6B709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089CC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437B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ТКУ-150 МОУ "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Кияикская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 ООШ"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A60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Кияик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6235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615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3558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570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99C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2A5C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F05F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45E1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AB3A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C08C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AA4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857C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CF02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6914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FAA0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E6A0CB9" w14:textId="77777777" w:rsidTr="00574474">
        <w:trPr>
          <w:trHeight w:val="45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FD3B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904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Люкское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AA5C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ТКУ-500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5E9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Люк, ул. Советская, 58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A8F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1D4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EA17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59D4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FDCC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671D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B6A3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61FD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0318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7F6C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2429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1C46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918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992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C349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D6E867B" w14:textId="77777777" w:rsidTr="00574474">
        <w:trPr>
          <w:trHeight w:val="120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6F1E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AAC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«Октябрьское»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9D1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№2 ООО "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КомЭнерго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"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92E8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Октябрьский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B438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A189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D1E9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B24E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3858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6D96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FD96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5189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D4B9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8FD6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E18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84C6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79E8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960B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0CE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2C03D782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9DB4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11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CF36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Подшиваловское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379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ТКУ-500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7B26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Подшивалово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Зайцева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441C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C753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8A2F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14A4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B707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75E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CE5A1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2B36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9D6E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63D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8983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4594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12CA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B60F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4545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881A366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6F6A8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6576C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47B4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ТКУ-600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84E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Подшивалово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Зайцева, 8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762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7997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7F2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0ABC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B290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166F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86D9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0517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2B48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5490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FA08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D649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87B4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F044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3E05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2AFC109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6525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12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124E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«Совхозное»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26B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ТКУ-400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B409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Юськи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Школьная, 10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9DD6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EF47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5100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3FEF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8DB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7857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86B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32B6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4FAC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4FDB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5CD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0B6F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846C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0DFD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926B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3A30E3E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8D155E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79903B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F1ED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Центральная котельная с. Совхозный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0B70190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Совхозный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C9D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B91E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A3B7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9170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65C7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5F5A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EF3B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9B0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77DE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6990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8A62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A60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171D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9FD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87BD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29228962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62A0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72FA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BDCB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ТКУ-800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FBB4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Совхозный, ул. Молодежная, 1а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0D90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3B96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BF9D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D40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383F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A8C7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BCD7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5D0A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1832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096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E777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A3B8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A19A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63E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E4A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459AF392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D472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04345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1713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ТКУ-600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0A82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Совхозный, ул. Молодёжная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F352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735B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3B24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BF62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E5F1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33FB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1009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06C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EE82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C30C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70BC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B4C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42D0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F873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2E2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AF018B1" w14:textId="77777777" w:rsidTr="00574474">
        <w:trPr>
          <w:trHeight w:val="60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EF61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13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49AB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Среднепостольское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032B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ТКУ-320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5DD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д. Ср. Постол, ул. Центральная 8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2497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8E5F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C2F0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596C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7469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AC11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EE48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1DFF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9E7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607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40FE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2404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96C5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F13E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CA41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60241E3E" w14:textId="77777777" w:rsidTr="00574474">
        <w:trPr>
          <w:trHeight w:val="30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F00E53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625FB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DE57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ТКУ-200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1658C9B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Постол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04AB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0819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84F8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FC7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2BB8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1DBF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0D1C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D5FF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867C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2AC6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C43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2C6C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0532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3B67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CF51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681D545B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A92004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E1E15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4E34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ТКУ-600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0A20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Постол,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ул.Школьная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9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4514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E611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E880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5D0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3966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CC1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F242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9B96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9FC0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69C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B82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2C27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BC94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514C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B50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C8D447E" w14:textId="77777777" w:rsidTr="00574474">
        <w:trPr>
          <w:trHeight w:val="675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A0F8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14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1D00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Шабердинское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5B8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«Прометей»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Шабердино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607A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Шабердино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Советская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FA16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0A8B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45CD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9F2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06FA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815B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4C75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1577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51C7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0D4F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7179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0F27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2ADA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D95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885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7E4FE9B6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97F4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E470A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38B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Школьная 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с.Люкшудья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38C0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Люкшудья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ул.Вокзальная,13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06CF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234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05ED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3F53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309E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FFBB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7C38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46F5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0A5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2250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3B60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A98E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9EEB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830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D9EC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79EA1D95" w14:textId="77777777" w:rsidTr="00574474">
        <w:trPr>
          <w:trHeight w:val="675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5F3A3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208C4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183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детского сада 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Люкшудья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C7E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Люкшудья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,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ул.Станционная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26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32CC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88D0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81A9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1F2A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6763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1E06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A300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12BE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DE89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131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3B87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98A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96FD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5A7E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67C4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96076EB" w14:textId="77777777" w:rsidTr="00574474">
        <w:trPr>
          <w:trHeight w:val="30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7DD81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7A0AD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C012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ТКУ-500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471F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Люкшудья</w:t>
            </w:r>
            <w:proofErr w:type="spellEnd"/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4A07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CD49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56DA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C07E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8860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ABB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AAD2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0F8E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9599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E94A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997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C17C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97A4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58E4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F028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54A0D9F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EDD9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15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8462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Ягульское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9442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ТКУ-2500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8662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Ягул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Холмогорова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3EC2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6F23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76A0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C131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462A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A1EC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A836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0674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6EC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FB9A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2BA4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0F18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DFF8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0250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9284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C36B0E5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F95597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570FA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BE8A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детского сада, д. Сокол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A4E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д. Сокол, ул. Клубная 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0798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4060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7A19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F0B7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8173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EA4C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3D7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33E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EFC2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CE14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B2A9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E063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0AB7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EE5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531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2EF3F70A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D113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FA4485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37E8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Котельная "Топочная" д. Русский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Вожой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AD81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Русский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Вожой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Молодежная, 9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FCCC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FEEE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BAF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BA30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AAD1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F523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2531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43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64F7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2674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12F1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766F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59F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CD55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237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5274B25F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8FCC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E5708F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C0A7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ТКУ-240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991D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с.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Ягул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Тенистая, 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D3B4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6E50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D5B7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BC6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3416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208D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98E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E24B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23D3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3598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F1F5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2DB8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D5C8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2A8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8461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28B400C9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BC93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16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23F1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Якшурское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BD4A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ТКУ-300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9454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Якшур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Юбилейная, 16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3D3B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DF7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4834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C6F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6992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EF0B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5A47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3A9C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5CA0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557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7F4B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455C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B240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1387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021F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47707583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8EE2C2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DFEC0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2D0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ТКУ-200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8888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Якшур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Юбилейная, 7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9FEB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D15A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3C46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1F05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D31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0935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1F07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3AA8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0C8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EC0E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B113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1619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AF26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DA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B76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D71A255" w14:textId="77777777" w:rsidTr="00574474">
        <w:trPr>
          <w:trHeight w:val="450"/>
          <w:jc w:val="center"/>
        </w:trPr>
        <w:tc>
          <w:tcPr>
            <w:tcW w:w="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8FE7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17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6762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«Первомайское»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F20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Центральная котельная с. Первомайский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68F3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с. Первомайский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15D7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B7D5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353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A115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8922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773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9A1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6EC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7DD8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94DB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84E7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7CA6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DC09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1560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D9B0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952F298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D464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18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F1DB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Пироговское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3C73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Центральная котельная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Прирогово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6C4EDC6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Пирогово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Торговая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B321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C826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292A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14BE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A26C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E60F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A677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0907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2A9E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BDA4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0CE5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8106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A3FE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307E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38B4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334C6658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175DB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314B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EBF9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Газовая котельная по ул. Мостовая,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Пирогово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9018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Пирогово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Мостовая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C98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EBF5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0610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60D8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297D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7033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444F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61FE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2C3E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2265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6DFD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6AA2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9784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6F4E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F4BD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10D0DECE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F1A82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8AD38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9F57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Газовая котельная 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Лудорвай</w:t>
            </w:r>
            <w:proofErr w:type="spellEnd"/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AB1F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Лудорвай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Школьная, 10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950F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46C4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A910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A539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6B65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D9D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E0FF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720B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DF55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A495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DACE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E3F2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AA2D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54DB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285B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65975CAD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003B1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781F2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121A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Котельная ТКУ-300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46CD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Лудорвай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Мира, 23Б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F587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2364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85813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7791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C427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DA48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E4AE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B602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547E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56E6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8F92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A11B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5C80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7CA1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1103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0149927F" w14:textId="77777777" w:rsidTr="00574474">
        <w:trPr>
          <w:trHeight w:val="450"/>
          <w:jc w:val="center"/>
        </w:trPr>
        <w:tc>
          <w:tcPr>
            <w:tcW w:w="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B451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19</w:t>
            </w:r>
          </w:p>
        </w:tc>
        <w:tc>
          <w:tcPr>
            <w:tcW w:w="15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77BC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МО «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Хохряковское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»</w:t>
            </w: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50A2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Блочно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-модульная котельная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2E23CAE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Хохряки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, ул. Восточная, д.2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C754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D2CA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7753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8716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3861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AE12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BE6F1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76A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2ED2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1716C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91E2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71A9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494FB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457D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BD50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488F7A0E" w14:textId="77777777" w:rsidTr="00574474">
        <w:trPr>
          <w:trHeight w:val="45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85B0EE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E18D66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A7FD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ЦТП 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0107F3C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Хохряки</w:t>
            </w:r>
            <w:proofErr w:type="spellEnd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, ул. Тепличная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0503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1506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6544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BE34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B49E6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EE95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AF1A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5199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376D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21C4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375E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016D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8CE6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259BE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9CD8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  <w:tr w:rsidR="00574474" w:rsidRPr="00574474" w14:paraId="7D8582CB" w14:textId="77777777" w:rsidTr="00574474">
        <w:trPr>
          <w:trHeight w:val="300"/>
          <w:jc w:val="center"/>
        </w:trPr>
        <w:tc>
          <w:tcPr>
            <w:tcW w:w="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4A5123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794B1" w14:textId="77777777" w:rsidR="00574474" w:rsidRPr="00574474" w:rsidRDefault="00574474" w:rsidP="0057447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2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0102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ЦТП 2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3167CD4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 xml:space="preserve">д. </w:t>
            </w:r>
            <w:proofErr w:type="spellStart"/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Хохряки</w:t>
            </w:r>
            <w:proofErr w:type="spellEnd"/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B1054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E6A2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BACA5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AF230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9D06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D361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115E9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26867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C32AD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0E8F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64EEF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EDC52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72A2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902D8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EE8CA" w14:textId="77777777" w:rsidR="00574474" w:rsidRPr="00574474" w:rsidRDefault="00574474" w:rsidP="00574474">
            <w:pPr>
              <w:widowControl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</w:pPr>
            <w:r w:rsidRPr="00574474">
              <w:rPr>
                <w:rFonts w:ascii="Times New Roman" w:eastAsia="Times New Roman" w:hAnsi="Times New Roman" w:cs="Times New Roman"/>
                <w:sz w:val="16"/>
                <w:szCs w:val="16"/>
                <w:lang w:bidi="ar-SA"/>
              </w:rPr>
              <w:t> </w:t>
            </w:r>
          </w:p>
        </w:tc>
      </w:tr>
    </w:tbl>
    <w:p w14:paraId="1067926C" w14:textId="77777777" w:rsidR="001E6EA8" w:rsidRDefault="001E6EA8">
      <w:pPr>
        <w:rPr>
          <w:sz w:val="2"/>
          <w:szCs w:val="2"/>
        </w:rPr>
        <w:sectPr w:rsidR="001E6EA8" w:rsidSect="00C93639">
          <w:headerReference w:type="even" r:id="rId27"/>
          <w:headerReference w:type="default" r:id="rId28"/>
          <w:footerReference w:type="default" r:id="rId29"/>
          <w:headerReference w:type="first" r:id="rId30"/>
          <w:pgSz w:w="23800" w:h="16840" w:orient="landscape"/>
          <w:pgMar w:top="1585" w:right="0" w:bottom="1095" w:left="0" w:header="0" w:footer="3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docGrid w:linePitch="360"/>
        </w:sectPr>
      </w:pPr>
    </w:p>
    <w:p w14:paraId="4C81D7C5" w14:textId="5351767B" w:rsidR="001E6EA8" w:rsidRDefault="001E6EA8" w:rsidP="00394EE7">
      <w:pPr>
        <w:rPr>
          <w:sz w:val="2"/>
          <w:szCs w:val="2"/>
        </w:rPr>
      </w:pPr>
    </w:p>
    <w:sectPr w:rsidR="001E6EA8" w:rsidSect="00C93639">
      <w:type w:val="continuous"/>
      <w:pgSz w:w="23800" w:h="16840" w:orient="landscape"/>
      <w:pgMar w:top="1585" w:right="556" w:bottom="1095" w:left="665" w:header="0" w:footer="3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F8E302" w14:textId="77777777" w:rsidR="00D010B9" w:rsidRDefault="00D010B9">
      <w:r>
        <w:separator/>
      </w:r>
    </w:p>
  </w:endnote>
  <w:endnote w:type="continuationSeparator" w:id="0">
    <w:p w14:paraId="0089AF29" w14:textId="77777777" w:rsidR="00D010B9" w:rsidRDefault="00D010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82D1EE" w14:textId="77777777" w:rsidR="006C3886" w:rsidRDefault="006C3886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787BC" w14:textId="77777777" w:rsidR="006C3886" w:rsidRDefault="006C3886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B9F3BA" w14:textId="77777777" w:rsidR="006C3886" w:rsidRDefault="006C3886">
    <w:pPr>
      <w:pStyle w:val="ab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1E74B5" w14:textId="77777777" w:rsidR="006C3886" w:rsidRDefault="006C3886">
    <w:pPr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D2A7F9" w14:textId="77777777" w:rsidR="006C3886" w:rsidRDefault="006C3886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D5AF93" w14:textId="77777777" w:rsidR="00D010B9" w:rsidRDefault="00D010B9"/>
  </w:footnote>
  <w:footnote w:type="continuationSeparator" w:id="0">
    <w:p w14:paraId="127AB336" w14:textId="77777777" w:rsidR="00D010B9" w:rsidRDefault="00D010B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F60F29" w14:textId="77777777" w:rsidR="006C3886" w:rsidRDefault="006C3886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9B526B" w14:textId="77777777" w:rsidR="006C3886" w:rsidRDefault="006C3886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EFAB79" w14:textId="77777777" w:rsidR="006C3886" w:rsidRDefault="006C3886">
    <w:pPr>
      <w:pStyle w:val="a9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51109C" w14:textId="77777777" w:rsidR="006C3886" w:rsidRDefault="006C3886">
    <w:pPr>
      <w:pStyle w:val="a9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2A3777" w14:textId="77777777" w:rsidR="006C3886" w:rsidRDefault="006C3886">
    <w:pPr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B52D2" w14:textId="77777777" w:rsidR="006C3886" w:rsidRDefault="006C3886">
    <w:pPr>
      <w:pStyle w:val="a9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7AB58D" w14:textId="77777777" w:rsidR="006C3886" w:rsidRDefault="006C3886">
    <w:pPr>
      <w:pStyle w:val="a9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4BC4D6" w14:textId="77777777" w:rsidR="006C3886" w:rsidRDefault="006C3886">
    <w:pPr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8C0A5" w14:textId="77777777" w:rsidR="006C3886" w:rsidRDefault="006C3886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5E4DC1"/>
    <w:multiLevelType w:val="multilevel"/>
    <w:tmpl w:val="1C1EFFA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31DD3316"/>
    <w:multiLevelType w:val="multilevel"/>
    <w:tmpl w:val="254634F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51334C12"/>
    <w:multiLevelType w:val="multilevel"/>
    <w:tmpl w:val="26F4CE9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65286D23"/>
    <w:multiLevelType w:val="multilevel"/>
    <w:tmpl w:val="6862DEC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6CD03E18"/>
    <w:multiLevelType w:val="multilevel"/>
    <w:tmpl w:val="C186E4AE"/>
    <w:lvl w:ilvl="0">
      <w:start w:val="1"/>
      <w:numFmt w:val="bullet"/>
      <w:lvlText w:val="&gt;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6D0F2217"/>
    <w:multiLevelType w:val="multilevel"/>
    <w:tmpl w:val="E3F60C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B816611"/>
    <w:multiLevelType w:val="multilevel"/>
    <w:tmpl w:val="B24ED57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7BEA04F0"/>
    <w:multiLevelType w:val="multilevel"/>
    <w:tmpl w:val="E41A4FA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4"/>
  </w:num>
  <w:num w:numId="5">
    <w:abstractNumId w:val="1"/>
  </w:num>
  <w:num w:numId="6">
    <w:abstractNumId w:val="6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4"/>
  <w:proofState w:spelling="clean" w:grammar="clean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E6EA8"/>
    <w:rsid w:val="00050CB8"/>
    <w:rsid w:val="00054228"/>
    <w:rsid w:val="000C51CF"/>
    <w:rsid w:val="0014606F"/>
    <w:rsid w:val="001E6EA8"/>
    <w:rsid w:val="002E02A6"/>
    <w:rsid w:val="00394EE7"/>
    <w:rsid w:val="003E4239"/>
    <w:rsid w:val="004002B8"/>
    <w:rsid w:val="004125D4"/>
    <w:rsid w:val="004D7A75"/>
    <w:rsid w:val="004E3186"/>
    <w:rsid w:val="00574474"/>
    <w:rsid w:val="005970A0"/>
    <w:rsid w:val="005A1353"/>
    <w:rsid w:val="00682F39"/>
    <w:rsid w:val="006C3886"/>
    <w:rsid w:val="00722603"/>
    <w:rsid w:val="00755F8C"/>
    <w:rsid w:val="00790C42"/>
    <w:rsid w:val="008319EF"/>
    <w:rsid w:val="008614A8"/>
    <w:rsid w:val="008D6264"/>
    <w:rsid w:val="00960106"/>
    <w:rsid w:val="00A228C1"/>
    <w:rsid w:val="00A338F7"/>
    <w:rsid w:val="00A40835"/>
    <w:rsid w:val="00A466B7"/>
    <w:rsid w:val="00AD4626"/>
    <w:rsid w:val="00B55831"/>
    <w:rsid w:val="00B853B0"/>
    <w:rsid w:val="00B90A12"/>
    <w:rsid w:val="00BD1198"/>
    <w:rsid w:val="00C17FD9"/>
    <w:rsid w:val="00C93639"/>
    <w:rsid w:val="00CF1842"/>
    <w:rsid w:val="00CF774F"/>
    <w:rsid w:val="00D010B9"/>
    <w:rsid w:val="00D20436"/>
    <w:rsid w:val="00D2284D"/>
    <w:rsid w:val="00DD412D"/>
    <w:rsid w:val="00E32F77"/>
    <w:rsid w:val="00E4609A"/>
    <w:rsid w:val="00E62527"/>
    <w:rsid w:val="00E83322"/>
    <w:rsid w:val="00EF13F4"/>
    <w:rsid w:val="00EF7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19D507"/>
  <w15:docId w15:val="{2DB8504E-AC4F-4F65-B814-07118DE6D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E32F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a4">
    <w:name w:val="Колонтитул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a6">
    <w:name w:val="Колонтитул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1">
    <w:name w:val="Оглавление 1 Знак"/>
    <w:basedOn w:val="a0"/>
    <w:link w:val="1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28pt">
    <w:name w:val="Основной текст (2) + 8 pt;Не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13">
    <w:name w:val="Заголовок №1_"/>
    <w:basedOn w:val="a0"/>
    <w:link w:val="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a7">
    <w:name w:val="Подпись к таблице_"/>
    <w:basedOn w:val="a0"/>
    <w:link w:val="a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295pt">
    <w:name w:val="Основной текст (2) + 9;5 pt;Не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0">
    <w:name w:val="Основной текст (2) + 9;5 pt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65pt">
    <w:name w:val="Основной текст (2) + 6;5 pt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216pt">
    <w:name w:val="Основной текст (2) + 16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840" w:after="60" w:line="418" w:lineRule="exact"/>
      <w:jc w:val="center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60" w:after="240" w:line="0" w:lineRule="atLeas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1440" w:after="60" w:line="0" w:lineRule="atLeast"/>
      <w:jc w:val="center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a5">
    <w:name w:val="Колонтитул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styleId="12">
    <w:name w:val="toc 1"/>
    <w:basedOn w:val="a"/>
    <w:link w:val="11"/>
    <w:autoRedefine/>
    <w:uiPriority w:val="39"/>
    <w:pPr>
      <w:shd w:val="clear" w:color="auto" w:fill="FFFFFF"/>
      <w:spacing w:after="60" w:line="274" w:lineRule="exact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422" w:lineRule="exact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14">
    <w:name w:val="Заголовок №1"/>
    <w:basedOn w:val="a"/>
    <w:link w:val="13"/>
    <w:pPr>
      <w:shd w:val="clear" w:color="auto" w:fill="FFFFFF"/>
      <w:spacing w:after="120" w:line="422" w:lineRule="exact"/>
      <w:ind w:hanging="2200"/>
      <w:outlineLvl w:val="0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a8">
    <w:name w:val="Подпись к таблице"/>
    <w:basedOn w:val="a"/>
    <w:link w:val="a7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styleId="a9">
    <w:name w:val="header"/>
    <w:basedOn w:val="a"/>
    <w:link w:val="aa"/>
    <w:uiPriority w:val="99"/>
    <w:unhideWhenUsed/>
    <w:rsid w:val="00682F3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82F39"/>
    <w:rPr>
      <w:color w:val="000000"/>
    </w:rPr>
  </w:style>
  <w:style w:type="paragraph" w:styleId="ab">
    <w:name w:val="footer"/>
    <w:basedOn w:val="a"/>
    <w:link w:val="ac"/>
    <w:uiPriority w:val="99"/>
    <w:unhideWhenUsed/>
    <w:rsid w:val="00682F3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82F39"/>
    <w:rPr>
      <w:color w:val="000000"/>
    </w:rPr>
  </w:style>
  <w:style w:type="paragraph" w:styleId="ad">
    <w:name w:val="No Spacing"/>
    <w:aliases w:val="С интервалом и отступом"/>
    <w:link w:val="ae"/>
    <w:uiPriority w:val="1"/>
    <w:qFormat/>
    <w:rsid w:val="00E32F77"/>
    <w:rPr>
      <w:color w:val="000000"/>
    </w:rPr>
  </w:style>
  <w:style w:type="character" w:customStyle="1" w:styleId="10">
    <w:name w:val="Заголовок 1 Знак"/>
    <w:basedOn w:val="a0"/>
    <w:link w:val="1"/>
    <w:uiPriority w:val="9"/>
    <w:rsid w:val="00E32F7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f">
    <w:name w:val="FollowedHyperlink"/>
    <w:basedOn w:val="a0"/>
    <w:uiPriority w:val="99"/>
    <w:semiHidden/>
    <w:unhideWhenUsed/>
    <w:rsid w:val="00394EE7"/>
    <w:rPr>
      <w:color w:val="954F72"/>
      <w:u w:val="single"/>
    </w:rPr>
  </w:style>
  <w:style w:type="paragraph" w:customStyle="1" w:styleId="msonormal0">
    <w:name w:val="msonormal"/>
    <w:basedOn w:val="a"/>
    <w:rsid w:val="00394EE7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2">
    <w:name w:val="xl72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3">
    <w:name w:val="xl73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4">
    <w:name w:val="xl74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5">
    <w:name w:val="xl75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76">
    <w:name w:val="xl76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7">
    <w:name w:val="xl77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78">
    <w:name w:val="xl78"/>
    <w:basedOn w:val="a"/>
    <w:rsid w:val="00394EE7"/>
    <w:pPr>
      <w:widowControl/>
      <w:pBdr>
        <w:top w:val="single" w:sz="4" w:space="0" w:color="auto"/>
        <w:bottom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79">
    <w:name w:val="xl79"/>
    <w:basedOn w:val="a"/>
    <w:rsid w:val="00394EE7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0">
    <w:name w:val="xl80"/>
    <w:basedOn w:val="a"/>
    <w:rsid w:val="00394EE7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1">
    <w:name w:val="xl81"/>
    <w:basedOn w:val="a"/>
    <w:rsid w:val="00394EE7"/>
    <w:pPr>
      <w:widowControl/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2">
    <w:name w:val="xl82"/>
    <w:basedOn w:val="a"/>
    <w:rsid w:val="00394EE7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3">
    <w:name w:val="xl83"/>
    <w:basedOn w:val="a"/>
    <w:rsid w:val="00394EE7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1">
    <w:name w:val="xl71"/>
    <w:basedOn w:val="a"/>
    <w:rsid w:val="00DD412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ae">
    <w:name w:val="Без интервала Знак"/>
    <w:aliases w:val="С интервалом и отступом Знак"/>
    <w:link w:val="ad"/>
    <w:uiPriority w:val="1"/>
    <w:locked/>
    <w:rsid w:val="00C93639"/>
    <w:rPr>
      <w:color w:val="000000"/>
    </w:rPr>
  </w:style>
  <w:style w:type="paragraph" w:customStyle="1" w:styleId="xl84">
    <w:name w:val="xl84"/>
    <w:basedOn w:val="a"/>
    <w:rsid w:val="003E423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5">
    <w:name w:val="xl85"/>
    <w:basedOn w:val="a"/>
    <w:rsid w:val="003E4239"/>
    <w:pPr>
      <w:widowControl/>
      <w:pBdr>
        <w:top w:val="single" w:sz="4" w:space="0" w:color="auto"/>
        <w:bottom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6">
    <w:name w:val="xl86"/>
    <w:basedOn w:val="a"/>
    <w:rsid w:val="003E423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87">
    <w:name w:val="xl87"/>
    <w:basedOn w:val="a"/>
    <w:rsid w:val="003E423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88">
    <w:name w:val="xl88"/>
    <w:basedOn w:val="a"/>
    <w:rsid w:val="003E423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89">
    <w:name w:val="xl89"/>
    <w:basedOn w:val="a"/>
    <w:rsid w:val="003E423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90">
    <w:name w:val="xl90"/>
    <w:basedOn w:val="a"/>
    <w:rsid w:val="003E423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FF0000"/>
      <w:lang w:bidi="ar-SA"/>
    </w:rPr>
  </w:style>
  <w:style w:type="paragraph" w:customStyle="1" w:styleId="xl91">
    <w:name w:val="xl91"/>
    <w:basedOn w:val="a"/>
    <w:rsid w:val="003E423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92">
    <w:name w:val="xl92"/>
    <w:basedOn w:val="a"/>
    <w:rsid w:val="003E423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93">
    <w:name w:val="xl93"/>
    <w:basedOn w:val="a"/>
    <w:rsid w:val="003E423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6">
    <w:name w:val="xl66"/>
    <w:basedOn w:val="a"/>
    <w:rsid w:val="00574474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7">
    <w:name w:val="xl67"/>
    <w:basedOn w:val="a"/>
    <w:rsid w:val="00574474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8">
    <w:name w:val="xl68"/>
    <w:basedOn w:val="a"/>
    <w:rsid w:val="00574474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9">
    <w:name w:val="xl69"/>
    <w:basedOn w:val="a"/>
    <w:rsid w:val="00574474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0">
    <w:name w:val="xl70"/>
    <w:basedOn w:val="a"/>
    <w:rsid w:val="00574474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209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8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3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4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5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4.xml"/><Relationship Id="rId28" Type="http://schemas.openxmlformats.org/officeDocument/2006/relationships/header" Target="header8.xml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image" Target="media/image9.png"/><Relationship Id="rId27" Type="http://schemas.openxmlformats.org/officeDocument/2006/relationships/header" Target="header7.xml"/><Relationship Id="rId30" Type="http://schemas.openxmlformats.org/officeDocument/2006/relationships/header" Target="header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9147C6-F4C2-4713-A4F2-28B86EE33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445</TotalTime>
  <Pages>13</Pages>
  <Words>3265</Words>
  <Characters>18614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</dc:creator>
  <cp:lastModifiedBy>Natalya Mikhaylova</cp:lastModifiedBy>
  <cp:revision>30</cp:revision>
  <cp:lastPrinted>2022-06-25T07:50:00Z</cp:lastPrinted>
  <dcterms:created xsi:type="dcterms:W3CDTF">2020-08-18T01:35:00Z</dcterms:created>
  <dcterms:modified xsi:type="dcterms:W3CDTF">2023-05-23T22:43:00Z</dcterms:modified>
</cp:coreProperties>
</file>