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A550F3">
        <w:t>3</w:t>
      </w:r>
      <w:r w:rsidR="00123AC7">
        <w:t>00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123AC7">
        <w:t>34</w:t>
      </w:r>
      <w:r w:rsidR="00C4652A">
        <w:t xml:space="preserve">, площадью </w:t>
      </w:r>
      <w:r w:rsidR="00123AC7">
        <w:t>8</w:t>
      </w:r>
      <w:r w:rsidR="003C2FA0">
        <w:t>00</w:t>
      </w:r>
      <w:r w:rsidR="00C4652A">
        <w:t>±</w:t>
      </w:r>
      <w:r w:rsidR="00123AC7">
        <w:t>9,9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123AC7">
        <w:rPr>
          <w:sz w:val="20"/>
          <w:szCs w:val="20"/>
        </w:rPr>
        <w:t>29</w:t>
      </w:r>
      <w:r w:rsidRPr="00C64855">
        <w:rPr>
          <w:sz w:val="20"/>
          <w:szCs w:val="20"/>
        </w:rPr>
        <w:t xml:space="preserve">» </w:t>
      </w:r>
      <w:r w:rsidR="00123AC7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123AC7">
        <w:rPr>
          <w:sz w:val="20"/>
        </w:rPr>
        <w:t>08</w:t>
      </w:r>
      <w:r w:rsidR="00A550F3">
        <w:rPr>
          <w:sz w:val="20"/>
        </w:rPr>
        <w:t xml:space="preserve">»  </w:t>
      </w:r>
      <w:r w:rsidR="00123AC7">
        <w:rPr>
          <w:sz w:val="20"/>
        </w:rPr>
        <w:t>февраля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123AC7">
        <w:rPr>
          <w:sz w:val="20"/>
        </w:rPr>
        <w:t>5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790D9D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790D9D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790D9D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123AC7">
        <w:rPr>
          <w:sz w:val="20"/>
          <w:szCs w:val="20"/>
        </w:rPr>
        <w:t>29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января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123AC7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10644B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123AC7">
        <w:rPr>
          <w:sz w:val="20"/>
          <w:szCs w:val="20"/>
        </w:rPr>
        <w:t>29</w:t>
      </w:r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января</w:t>
      </w:r>
      <w:r w:rsidR="0010644B">
        <w:rPr>
          <w:sz w:val="20"/>
          <w:szCs w:val="20"/>
        </w:rPr>
        <w:t xml:space="preserve">"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123AC7">
        <w:rPr>
          <w:sz w:val="20"/>
          <w:szCs w:val="20"/>
        </w:rPr>
        <w:t>08</w:t>
      </w:r>
      <w:r w:rsidR="009B65CE">
        <w:rPr>
          <w:sz w:val="20"/>
          <w:szCs w:val="20"/>
        </w:rPr>
        <w:t>"</w:t>
      </w:r>
      <w:r w:rsidR="00123AC7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790D9D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A6" w:rsidRDefault="00F732A6" w:rsidP="00D91053">
      <w:r>
        <w:separator/>
      </w:r>
    </w:p>
  </w:endnote>
  <w:endnote w:type="continuationSeparator" w:id="0">
    <w:p w:rsidR="00F732A6" w:rsidRDefault="00F732A6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790D9D">
    <w:pPr>
      <w:rPr>
        <w:sz w:val="2"/>
        <w:szCs w:val="2"/>
      </w:rPr>
    </w:pPr>
    <w:r w:rsidRPr="00790D9D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A6" w:rsidRDefault="00F732A6" w:rsidP="00D91053">
      <w:r>
        <w:separator/>
      </w:r>
    </w:p>
  </w:footnote>
  <w:footnote w:type="continuationSeparator" w:id="0">
    <w:p w:rsidR="00F732A6" w:rsidRDefault="00F732A6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102</cp:revision>
  <cp:lastPrinted>2023-08-31T07:47:00Z</cp:lastPrinted>
  <dcterms:created xsi:type="dcterms:W3CDTF">2018-07-18T04:56:00Z</dcterms:created>
  <dcterms:modified xsi:type="dcterms:W3CDTF">2024-02-13T06:48:00Z</dcterms:modified>
</cp:coreProperties>
</file>