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18220A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18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18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824109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                                                                                        «____»_________2023 года</w:t>
      </w:r>
    </w:p>
    <w:p w:rsidR="002B6C1E" w:rsidRPr="0018220A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3115457"/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18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proofErr w:type="gramEnd"/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8220A" w:rsidRPr="0018220A" w:rsidRDefault="0018220A" w:rsidP="0018220A">
      <w:pPr>
        <w:autoSpaceDE w:val="0"/>
        <w:autoSpaceDN w:val="0"/>
        <w:adjustRightInd w:val="0"/>
        <w:spacing w:after="0" w:line="0" w:lineRule="atLeast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Продавец передает, а Покупатель принимает в собственность за плату земельный участок категории земель: Земли населенных пунктов, площадью</w:t>
      </w:r>
      <w:r w:rsidR="000D77AA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5EA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 +/- 12  </w:t>
      </w:r>
      <w:proofErr w:type="spellStart"/>
      <w:r w:rsidR="00824109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824109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="007675EA"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18:08:031001:3010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proofErr w:type="gramStart"/>
      <w:r w:rsidR="007675EA" w:rsidRPr="0018220A">
        <w:rPr>
          <w:rFonts w:ascii="Times New Roman" w:hAnsi="Times New Roman" w:cs="Times New Roman"/>
          <w:sz w:val="24"/>
          <w:szCs w:val="24"/>
        </w:rPr>
        <w:t>Удмуртская Республика, Завьяловский район, муниципальное образование «Каменское», д. Мещеряки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="007675EA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Участок).</w:t>
      </w:r>
      <w:proofErr w:type="gramEnd"/>
    </w:p>
    <w:p w:rsidR="007675EA" w:rsidRPr="0018220A" w:rsidRDefault="002B6C1E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(обременения): </w:t>
      </w:r>
      <w:r w:rsidR="007675EA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сведениям Единого государственного реестра недвижимости учетная часть с номером 1 площадью 175  кв. м имеет ограничения прав, предусмотренные статьей 56 Земельного кодекса Российской Федерации;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proofErr w:type="gramEnd"/>
      <w:r w:rsidR="007675EA"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ограничения (обременения): отнесен к зонам с особыми условиями использования земельных участков - охранным зонам объектов электросетевого хозяйства; реестровый номер границы: 18.08.2.264;</w:t>
      </w:r>
    </w:p>
    <w:p w:rsidR="007675EA" w:rsidRPr="0018220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территории, имеет ограничения прав на земельный участок, предусмотренные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территории»:</w:t>
      </w:r>
    </w:p>
    <w:p w:rsidR="007675EA" w:rsidRPr="0018220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18:00-6.663 – охранная зона транспорта (зона с особыми условиями использования территории) – приаэродромная территория аэродрома Ижевск;  </w:t>
      </w:r>
    </w:p>
    <w:p w:rsidR="007675EA" w:rsidRPr="0018220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18:00-6.665 – охранная зона транспорта (зона с особыми условиями использования территории) – четвертая подзона приаэродромной территор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границах четвертой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7675EA" w:rsidRPr="0018220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18:00-6.666 – охранная зона транспорта (зона с особыми условиями использования территории) – пятая подзона приаэродромной территор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пятой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 аэродрома Ижевск запрещено размещение магистральных газопроводов (в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сооружений на них) и других объектов, из которых возможен выброс или утечка газа; арсеналов, баз и складов ракет и боеприпасов до наружных проволочных ограждений охранного периметра аэропорта на расстоянии менее 15 км; складов нефти, магистральных нефтепроводов, нефтепродуктопроводов и сооружений на них на расстоянии менее 200 м до территор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ропорта (от оси трубопровода или ограждения сооружения); </w:t>
      </w:r>
    </w:p>
    <w:p w:rsidR="007675EA" w:rsidRPr="0018220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18:00-6.667 – охранная зона транспорта (зона с особыми условиями использования территории) – шестая подзона приаэродромной территор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(на всей территории в границах шестой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ограничения по размещению объектов, способствующих привлечению и массовому скоплению птиц, в тот числе запрещается размещать: полигоны ТБО, несанкционированные свалки; 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по разведению в неволе ценных пушных зверей для получения шкурок (норка, голубой песец, серебристо-чёрная лисица, соболь, речной бобр, шиншиллы и другие животные); свинарники, коровники, птицефермы, рыбные пруды; пашни, сенокосы, пастбища, залежи, земли, занятые многолетними насаждениями; элеваторы (зернохранилища);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отпугивателей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пропановых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пушек);</w:t>
      </w:r>
    </w:p>
    <w:p w:rsidR="007675EA" w:rsidRDefault="007675E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18:00-6.669 – охранная зона транспорта (зона с особыми условиями использования территории) – третья подзона приаэродромной территор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третьей </w:t>
      </w:r>
      <w:proofErr w:type="spell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территории).</w:t>
      </w:r>
    </w:p>
    <w:p w:rsidR="0018220A" w:rsidRPr="0018220A" w:rsidRDefault="0018220A" w:rsidP="007675EA">
      <w:pPr>
        <w:tabs>
          <w:tab w:val="left" w:pos="709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2B6C1E" w:rsidRPr="0018220A" w:rsidRDefault="002B6C1E" w:rsidP="0018220A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ПРАВА И ОБЯЗАННОСТИ СТОРОН</w:t>
      </w:r>
    </w:p>
    <w:p w:rsidR="0018220A" w:rsidRPr="0018220A" w:rsidRDefault="0018220A" w:rsidP="0018220A">
      <w:pPr>
        <w:pStyle w:val="a5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ЦЕНА И ПОРЯДОК РАСЧЕТОВ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18220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18220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proofErr w:type="gramStart"/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/с</w:t>
      </w:r>
      <w:r w:rsidRPr="0018220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03100643000000011300, Отделение - НБ Удмуртская Республика Банка России//УФК по Удмуртской Республике г.</w:t>
      </w:r>
      <w:r w:rsid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</w:t>
      </w:r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Ижевск, БИК 019401100, </w:t>
      </w:r>
      <w:proofErr w:type="spellStart"/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18220A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18220A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18220A" w:rsidRDefault="002B6C1E" w:rsidP="000D77A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НЕПРЕОДОЛИМОЙ СИЛЫ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РАЗРЕШЕНИЕ СПОРОВ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РАСТОРЖЕНИЕ ДОГОВОРА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</w:t>
      </w:r>
      <w:r w:rsid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 инициативе Продавца п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п.п.2.2.1 Договора.</w:t>
      </w: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1822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18220A" w:rsidRPr="0018220A" w:rsidRDefault="0018220A" w:rsidP="0018220A">
      <w:pPr>
        <w:pStyle w:val="a5"/>
        <w:autoSpaceDE w:val="0"/>
        <w:autoSpaceDN w:val="0"/>
        <w:adjustRightInd w:val="0"/>
        <w:spacing w:after="0" w:line="0" w:lineRule="atLeast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трех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Default="002B6C1E" w:rsidP="000D77AA">
      <w:pPr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18220A" w:rsidRPr="0018220A" w:rsidRDefault="0018220A" w:rsidP="000D77AA">
      <w:pPr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18220A" w:rsidTr="00824109">
        <w:tc>
          <w:tcPr>
            <w:tcW w:w="4952" w:type="dxa"/>
          </w:tcPr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18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18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18220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18220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18220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18220A" w:rsidRDefault="002B6C1E" w:rsidP="000D77AA">
            <w:pPr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18220A" w:rsidRDefault="002B6C1E" w:rsidP="000D77AA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ind w:firstLine="57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от Покупателя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 /____________/</w:t>
      </w: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</w:t>
      </w:r>
      <w:r w:rsidRPr="0018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/_____________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18220A" w:rsidRDefault="002B6C1E" w:rsidP="000D77AA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  <w:bookmarkStart w:id="3" w:name="_GoBack"/>
      <w:bookmarkEnd w:id="3"/>
    </w:p>
    <w:p w:rsidR="000813F2" w:rsidRPr="0018220A" w:rsidRDefault="000813F2">
      <w:pPr>
        <w:rPr>
          <w:rFonts w:ascii="Times New Roman" w:hAnsi="Times New Roman" w:cs="Times New Roman"/>
          <w:sz w:val="24"/>
          <w:szCs w:val="24"/>
        </w:rPr>
      </w:pPr>
    </w:p>
    <w:sectPr w:rsidR="000813F2" w:rsidRPr="0018220A" w:rsidSect="00A32DFD">
      <w:headerReference w:type="default" r:id="rId8"/>
      <w:footerReference w:type="default" r:id="rId9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09" w:rsidRDefault="00824109">
      <w:pPr>
        <w:spacing w:after="0" w:line="240" w:lineRule="auto"/>
      </w:pPr>
      <w:r>
        <w:separator/>
      </w:r>
    </w:p>
  </w:endnote>
  <w:endnote w:type="continuationSeparator" w:id="0">
    <w:p w:rsidR="00824109" w:rsidRDefault="0082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09" w:rsidRDefault="00824109" w:rsidP="008241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09" w:rsidRDefault="00824109">
      <w:pPr>
        <w:spacing w:after="0" w:line="240" w:lineRule="auto"/>
      </w:pPr>
      <w:r>
        <w:separator/>
      </w:r>
    </w:p>
  </w:footnote>
  <w:footnote w:type="continuationSeparator" w:id="0">
    <w:p w:rsidR="00824109" w:rsidRDefault="0082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774946"/>
      <w:docPartObj>
        <w:docPartGallery w:val="Page Numbers (Top of Page)"/>
        <w:docPartUnique/>
      </w:docPartObj>
    </w:sdtPr>
    <w:sdtEndPr/>
    <w:sdtContent>
      <w:p w:rsidR="00A32DFD" w:rsidRDefault="00A32D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0A">
          <w:rPr>
            <w:noProof/>
          </w:rPr>
          <w:t>16</w:t>
        </w:r>
        <w:r>
          <w:fldChar w:fldCharType="end"/>
        </w:r>
      </w:p>
    </w:sdtContent>
  </w:sdt>
  <w:p w:rsidR="00A32DFD" w:rsidRDefault="00A32D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47A6"/>
    <w:multiLevelType w:val="hybridMultilevel"/>
    <w:tmpl w:val="4808C88E"/>
    <w:lvl w:ilvl="0" w:tplc="F2E6E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7AA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220A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675EA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4109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2DFD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1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1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2023-05-26T09:40:00Z</cp:lastPrinted>
  <dcterms:created xsi:type="dcterms:W3CDTF">2023-05-18T04:59:00Z</dcterms:created>
  <dcterms:modified xsi:type="dcterms:W3CDTF">2023-06-26T09:32:00Z</dcterms:modified>
</cp:coreProperties>
</file>