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w:t>
      </w:r>
      <w:r w:rsidR="00621390">
        <w:rPr>
          <w:rFonts w:ascii="Times New Roman" w:hAnsi="Times New Roman" w:cs="Times New Roman"/>
          <w:b/>
          <w:sz w:val="24"/>
          <w:szCs w:val="24"/>
        </w:rPr>
        <w:t>072002</w:t>
      </w:r>
      <w:r w:rsidR="006D7EC8" w:rsidRPr="006D7EC8">
        <w:rPr>
          <w:rFonts w:ascii="Times New Roman" w:hAnsi="Times New Roman" w:cs="Times New Roman"/>
          <w:b/>
          <w:sz w:val="24"/>
          <w:szCs w:val="24"/>
        </w:rPr>
        <w:t>:</w:t>
      </w:r>
      <w:r w:rsidR="00621390">
        <w:rPr>
          <w:rFonts w:ascii="Times New Roman" w:hAnsi="Times New Roman" w:cs="Times New Roman"/>
          <w:b/>
          <w:sz w:val="24"/>
          <w:szCs w:val="24"/>
        </w:rPr>
        <w:t>1838</w:t>
      </w:r>
      <w:r w:rsidRPr="00142F7B">
        <w:rPr>
          <w:rFonts w:ascii="Times New Roman" w:hAnsi="Times New Roman" w:cs="Times New Roman"/>
          <w:b/>
          <w:sz w:val="24"/>
          <w:szCs w:val="24"/>
        </w:rPr>
        <w:t xml:space="preserve">, </w:t>
      </w:r>
    </w:p>
    <w:p w:rsidR="00621390" w:rsidRDefault="0079321E" w:rsidP="00621390">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21390" w:rsidRPr="00621390">
        <w:rPr>
          <w:rFonts w:ascii="Times New Roman" w:hAnsi="Times New Roman" w:cs="Times New Roman"/>
          <w:b/>
          <w:sz w:val="24"/>
          <w:szCs w:val="24"/>
        </w:rPr>
        <w:t xml:space="preserve">Удмуртская Республика, Завьяловский район, </w:t>
      </w:r>
    </w:p>
    <w:p w:rsidR="007C2C46" w:rsidRPr="00142F7B" w:rsidRDefault="00621390" w:rsidP="00621390">
      <w:pPr>
        <w:spacing w:after="0" w:line="0" w:lineRule="atLeast"/>
        <w:contextualSpacing/>
        <w:jc w:val="center"/>
        <w:rPr>
          <w:rFonts w:ascii="Times New Roman" w:hAnsi="Times New Roman" w:cs="Times New Roman"/>
          <w:b/>
          <w:sz w:val="24"/>
          <w:szCs w:val="24"/>
        </w:rPr>
      </w:pPr>
      <w:r w:rsidRPr="00621390">
        <w:rPr>
          <w:rFonts w:ascii="Times New Roman" w:hAnsi="Times New Roman" w:cs="Times New Roman"/>
          <w:b/>
          <w:sz w:val="24"/>
          <w:szCs w:val="24"/>
        </w:rPr>
        <w:t xml:space="preserve">с. Гольяны, ул. </w:t>
      </w:r>
      <w:proofErr w:type="gramStart"/>
      <w:r w:rsidRPr="00621390">
        <w:rPr>
          <w:rFonts w:ascii="Times New Roman" w:hAnsi="Times New Roman" w:cs="Times New Roman"/>
          <w:b/>
          <w:sz w:val="24"/>
          <w:szCs w:val="24"/>
        </w:rPr>
        <w:t>Сосновая</w:t>
      </w:r>
      <w:proofErr w:type="gram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621390" w:rsidRPr="00621390">
        <w:rPr>
          <w:rFonts w:ascii="Times New Roman" w:hAnsi="Times New Roman" w:cs="Times New Roman"/>
          <w:sz w:val="24"/>
          <w:szCs w:val="24"/>
        </w:rPr>
        <w:t xml:space="preserve">Удмуртская Республика, Завьяловский район, </w:t>
      </w:r>
      <w:proofErr w:type="gramStart"/>
      <w:r w:rsidR="00621390" w:rsidRPr="00621390">
        <w:rPr>
          <w:rFonts w:ascii="Times New Roman" w:hAnsi="Times New Roman" w:cs="Times New Roman"/>
          <w:sz w:val="24"/>
          <w:szCs w:val="24"/>
        </w:rPr>
        <w:t>с</w:t>
      </w:r>
      <w:proofErr w:type="gramEnd"/>
      <w:r w:rsidR="00621390" w:rsidRPr="00621390">
        <w:rPr>
          <w:rFonts w:ascii="Times New Roman" w:hAnsi="Times New Roman" w:cs="Times New Roman"/>
          <w:sz w:val="24"/>
          <w:szCs w:val="24"/>
        </w:rPr>
        <w:t>. Гольяны,</w:t>
      </w:r>
      <w:r w:rsidR="00621390">
        <w:rPr>
          <w:rFonts w:ascii="Times New Roman" w:hAnsi="Times New Roman" w:cs="Times New Roman"/>
          <w:sz w:val="24"/>
          <w:szCs w:val="24"/>
        </w:rPr>
        <w:t xml:space="preserve">          </w:t>
      </w:r>
      <w:r w:rsidR="00621390" w:rsidRPr="00621390">
        <w:rPr>
          <w:rFonts w:ascii="Times New Roman" w:hAnsi="Times New Roman" w:cs="Times New Roman"/>
          <w:sz w:val="24"/>
          <w:szCs w:val="24"/>
        </w:rPr>
        <w:t xml:space="preserve"> ул. Сосновая</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21390" w:rsidRPr="00621390">
        <w:rPr>
          <w:rFonts w:ascii="Times New Roman" w:hAnsi="Times New Roman" w:cs="Times New Roman"/>
          <w:sz w:val="24"/>
          <w:szCs w:val="24"/>
        </w:rPr>
        <w:t>805 +/- 10</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21390" w:rsidRPr="00621390">
        <w:rPr>
          <w:rFonts w:ascii="Times New Roman" w:hAnsi="Times New Roman" w:cs="Times New Roman"/>
          <w:sz w:val="24"/>
          <w:szCs w:val="24"/>
        </w:rPr>
        <w:t>18:08:072002:1838</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21390">
        <w:rPr>
          <w:rFonts w:ascii="Times New Roman" w:hAnsi="Times New Roman" w:cs="Times New Roman"/>
          <w:sz w:val="24"/>
          <w:szCs w:val="24"/>
        </w:rPr>
        <w:t>ых</w:t>
      </w:r>
      <w:r w:rsidRPr="00BF5FAB">
        <w:rPr>
          <w:rFonts w:ascii="Times New Roman" w:hAnsi="Times New Roman" w:cs="Times New Roman"/>
          <w:sz w:val="24"/>
          <w:szCs w:val="24"/>
        </w:rPr>
        <w:t xml:space="preserve"> участк</w:t>
      </w:r>
      <w:r w:rsidR="00621390">
        <w:rPr>
          <w:rFonts w:ascii="Times New Roman" w:hAnsi="Times New Roman" w:cs="Times New Roman"/>
          <w:sz w:val="24"/>
          <w:szCs w:val="24"/>
        </w:rPr>
        <w:t>ов</w:t>
      </w:r>
      <w:r w:rsidR="006D7EC8">
        <w:rPr>
          <w:rFonts w:ascii="Times New Roman" w:hAnsi="Times New Roman" w:cs="Times New Roman"/>
          <w:sz w:val="24"/>
          <w:szCs w:val="24"/>
        </w:rPr>
        <w:t xml:space="preserve"> </w:t>
      </w:r>
      <w:r w:rsidR="00621390">
        <w:rPr>
          <w:rFonts w:ascii="Times New Roman" w:hAnsi="Times New Roman" w:cs="Times New Roman"/>
          <w:sz w:val="24"/>
          <w:szCs w:val="24"/>
        </w:rPr>
        <w:t>до зданий и</w:t>
      </w:r>
      <w:r w:rsidR="006D7EC8">
        <w:rPr>
          <w:rFonts w:ascii="Times New Roman" w:hAnsi="Times New Roman" w:cs="Times New Roman"/>
          <w:sz w:val="24"/>
          <w:szCs w:val="24"/>
        </w:rPr>
        <w:t xml:space="preserve"> строений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r w:rsidR="00621390">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и проездов;</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roofErr w:type="gramEnd"/>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w:t>
      </w:r>
      <w:r w:rsidR="00621390">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621390">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621390">
        <w:rPr>
          <w:rFonts w:ascii="Times New Roman" w:hAnsi="Times New Roman" w:cs="Times New Roman"/>
          <w:sz w:val="24"/>
          <w:szCs w:val="24"/>
        </w:rPr>
        <w:t xml:space="preserve"> для индивидуального жилого дома или блокированного жилого дома (2 блока)</w:t>
      </w:r>
      <w:r w:rsidR="0026491A">
        <w:rPr>
          <w:rFonts w:ascii="Times New Roman" w:hAnsi="Times New Roman" w:cs="Times New Roman"/>
          <w:sz w:val="24"/>
          <w:szCs w:val="24"/>
        </w:rPr>
        <w:t xml:space="preserve"> – </w:t>
      </w:r>
      <w:r w:rsidR="00621390">
        <w:rPr>
          <w:rFonts w:ascii="Times New Roman" w:hAnsi="Times New Roman" w:cs="Times New Roman"/>
          <w:sz w:val="24"/>
          <w:szCs w:val="24"/>
        </w:rPr>
        <w:t>40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C597B">
        <w:rPr>
          <w:rFonts w:ascii="Times New Roman" w:hAnsi="Times New Roman" w:cs="Times New Roman"/>
          <w:sz w:val="24"/>
          <w:szCs w:val="24"/>
        </w:rPr>
        <w:t>техническая</w:t>
      </w:r>
      <w:r w:rsidR="00A85706">
        <w:rPr>
          <w:rFonts w:ascii="Times New Roman" w:hAnsi="Times New Roman" w:cs="Times New Roman"/>
          <w:sz w:val="24"/>
          <w:szCs w:val="24"/>
        </w:rPr>
        <w:t xml:space="preserve"> возможность подключения к центральной системе водоснабжения имеется, удаленность от магистральных сетей составляет 80 м</w:t>
      </w:r>
      <w:r w:rsidR="00826AD6">
        <w:rPr>
          <w:rFonts w:ascii="Times New Roman" w:hAnsi="Times New Roman" w:cs="Times New Roman"/>
          <w:sz w:val="24"/>
          <w:szCs w:val="24"/>
        </w:rPr>
        <w:t>,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подключени</w:t>
      </w:r>
      <w:r w:rsidR="00DA2BBC">
        <w:rPr>
          <w:rFonts w:ascii="Times New Roman" w:hAnsi="Times New Roman" w:cs="Times New Roman"/>
          <w:sz w:val="24"/>
          <w:szCs w:val="24"/>
        </w:rPr>
        <w:t>е</w:t>
      </w:r>
      <w:r w:rsidR="00826AD6">
        <w:rPr>
          <w:rFonts w:ascii="Times New Roman" w:hAnsi="Times New Roman" w:cs="Times New Roman"/>
          <w:sz w:val="24"/>
          <w:szCs w:val="24"/>
        </w:rPr>
        <w:t xml:space="preserve"> объекта капитального строи</w:t>
      </w:r>
      <w:r w:rsidR="00EC597B">
        <w:rPr>
          <w:rFonts w:ascii="Times New Roman" w:hAnsi="Times New Roman" w:cs="Times New Roman"/>
          <w:sz w:val="24"/>
          <w:szCs w:val="24"/>
        </w:rPr>
        <w:t xml:space="preserve">тельства к сети </w:t>
      </w:r>
      <w:r w:rsidR="00DC1A9E">
        <w:rPr>
          <w:rFonts w:ascii="Times New Roman" w:hAnsi="Times New Roman" w:cs="Times New Roman"/>
          <w:sz w:val="24"/>
          <w:szCs w:val="24"/>
        </w:rPr>
        <w:t>связи</w:t>
      </w:r>
      <w:r w:rsidR="00DA2BBC">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w:t>
      </w:r>
      <w:r w:rsidR="00EC597B">
        <w:rPr>
          <w:rFonts w:ascii="Times New Roman" w:hAnsi="Times New Roman" w:cs="Times New Roman"/>
          <w:sz w:val="24"/>
          <w:szCs w:val="24"/>
        </w:rPr>
        <w:t>может быть произведено в точке подключения: ОТМУ-ИЖ-6254</w:t>
      </w:r>
      <w:r w:rsidR="00DC1A9E">
        <w:rPr>
          <w:rFonts w:ascii="Times New Roman" w:hAnsi="Times New Roman" w:cs="Times New Roman"/>
          <w:sz w:val="24"/>
          <w:szCs w:val="24"/>
        </w:rPr>
        <w:t xml:space="preserve"> </w:t>
      </w:r>
      <w:r w:rsidR="00EC597B">
        <w:rPr>
          <w:rFonts w:ascii="Times New Roman" w:hAnsi="Times New Roman" w:cs="Times New Roman"/>
          <w:sz w:val="24"/>
          <w:szCs w:val="24"/>
        </w:rPr>
        <w:t xml:space="preserve">        </w:t>
      </w:r>
      <w:r w:rsidR="00DC1A9E">
        <w:rPr>
          <w:rFonts w:ascii="Times New Roman" w:hAnsi="Times New Roman" w:cs="Times New Roman"/>
          <w:sz w:val="24"/>
          <w:szCs w:val="24"/>
        </w:rPr>
        <w:t xml:space="preserve">(с. </w:t>
      </w:r>
      <w:r w:rsidR="00EC597B">
        <w:rPr>
          <w:rFonts w:ascii="Times New Roman" w:hAnsi="Times New Roman" w:cs="Times New Roman"/>
          <w:sz w:val="24"/>
          <w:szCs w:val="24"/>
        </w:rPr>
        <w:t>Гольяны</w:t>
      </w:r>
      <w:r w:rsidR="00DC1A9E">
        <w:rPr>
          <w:rFonts w:ascii="Times New Roman" w:hAnsi="Times New Roman" w:cs="Times New Roman"/>
          <w:sz w:val="24"/>
          <w:szCs w:val="24"/>
        </w:rPr>
        <w:t xml:space="preserve">, ул. </w:t>
      </w:r>
      <w:proofErr w:type="gramStart"/>
      <w:r w:rsidR="00EC597B">
        <w:rPr>
          <w:rFonts w:ascii="Times New Roman" w:hAnsi="Times New Roman" w:cs="Times New Roman"/>
          <w:sz w:val="24"/>
          <w:szCs w:val="24"/>
        </w:rPr>
        <w:t>Советская</w:t>
      </w:r>
      <w:proofErr w:type="gramEnd"/>
      <w:r w:rsidR="00DC1A9E">
        <w:rPr>
          <w:rFonts w:ascii="Times New Roman" w:hAnsi="Times New Roman" w:cs="Times New Roman"/>
          <w:sz w:val="24"/>
          <w:szCs w:val="24"/>
        </w:rPr>
        <w:t xml:space="preserve">, </w:t>
      </w:r>
      <w:r w:rsidR="00EC597B">
        <w:rPr>
          <w:rFonts w:ascii="Times New Roman" w:hAnsi="Times New Roman" w:cs="Times New Roman"/>
          <w:sz w:val="24"/>
          <w:szCs w:val="24"/>
        </w:rPr>
        <w:t>5</w:t>
      </w:r>
      <w:r w:rsidR="00DC1A9E">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EC597B">
        <w:rPr>
          <w:rFonts w:ascii="Times New Roman" w:hAnsi="Times New Roman" w:cs="Times New Roman"/>
          <w:sz w:val="24"/>
          <w:szCs w:val="24"/>
        </w:rPr>
        <w:t>110</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EC597B">
        <w:rPr>
          <w:rFonts w:ascii="Times New Roman" w:hAnsi="Times New Roman" w:cs="Times New Roman"/>
          <w:sz w:val="24"/>
          <w:szCs w:val="24"/>
        </w:rPr>
        <w:t>проходящий вдоль ул. Молодежная, примерно в 12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757057" w:rsidRPr="00A8400E" w:rsidRDefault="00757057" w:rsidP="00A8400E">
      <w:pPr>
        <w:pStyle w:val="a4"/>
        <w:tabs>
          <w:tab w:val="left" w:pos="1134"/>
        </w:tabs>
        <w:spacing w:after="0" w:line="0" w:lineRule="atLeast"/>
        <w:ind w:left="0" w:firstLine="709"/>
        <w:jc w:val="both"/>
        <w:rPr>
          <w:rFonts w:ascii="Times New Roman" w:hAnsi="Times New Roman" w:cs="Times New Roman"/>
          <w:sz w:val="24"/>
          <w:szCs w:val="24"/>
        </w:rPr>
      </w:pP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E47BD8">
        <w:rPr>
          <w:rFonts w:ascii="Times New Roman" w:hAnsi="Times New Roman" w:cs="Times New Roman"/>
          <w:sz w:val="24"/>
          <w:szCs w:val="24"/>
        </w:rPr>
        <w:t>09</w:t>
      </w:r>
      <w:r w:rsidR="00D7246A" w:rsidRPr="00D7246A">
        <w:rPr>
          <w:rFonts w:ascii="Times New Roman" w:hAnsi="Times New Roman" w:cs="Times New Roman"/>
          <w:sz w:val="24"/>
          <w:szCs w:val="24"/>
        </w:rPr>
        <w:t>.</w:t>
      </w:r>
      <w:r w:rsidR="00E47BD8">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47BD8">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50103">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751D9">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EC597B">
        <w:rPr>
          <w:rFonts w:ascii="Times New Roman" w:hAnsi="Times New Roman" w:cs="Times New Roman"/>
          <w:sz w:val="24"/>
          <w:szCs w:val="24"/>
        </w:rPr>
        <w:t>10</w:t>
      </w:r>
      <w:r w:rsidR="005E4A12" w:rsidRPr="00484283">
        <w:rPr>
          <w:rFonts w:ascii="Times New Roman" w:hAnsi="Times New Roman" w:cs="Times New Roman"/>
          <w:sz w:val="24"/>
          <w:szCs w:val="24"/>
        </w:rPr>
        <w:t xml:space="preserve"> часов </w:t>
      </w:r>
      <w:r w:rsidR="00EC597B">
        <w:rPr>
          <w:rFonts w:ascii="Times New Roman" w:hAnsi="Times New Roman" w:cs="Times New Roman"/>
          <w:sz w:val="24"/>
          <w:szCs w:val="24"/>
        </w:rPr>
        <w:t>3</w:t>
      </w:r>
      <w:r w:rsidR="005E4A12" w:rsidRPr="00484283">
        <w:rPr>
          <w:rFonts w:ascii="Times New Roman" w:hAnsi="Times New Roman" w:cs="Times New Roman"/>
          <w:sz w:val="24"/>
          <w:szCs w:val="24"/>
        </w:rPr>
        <w:t>0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EC597B">
        <w:rPr>
          <w:rFonts w:ascii="Times New Roman" w:hAnsi="Times New Roman" w:cs="Times New Roman"/>
          <w:sz w:val="24"/>
          <w:szCs w:val="24"/>
        </w:rPr>
        <w:t>450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EC597B">
        <w:rPr>
          <w:rFonts w:ascii="Times New Roman" w:hAnsi="Times New Roman" w:cs="Times New Roman"/>
          <w:sz w:val="24"/>
          <w:szCs w:val="24"/>
        </w:rPr>
        <w:t>Четыреста пятьдесят</w:t>
      </w:r>
      <w:r w:rsidR="00757057">
        <w:rPr>
          <w:rFonts w:ascii="Times New Roman" w:hAnsi="Times New Roman" w:cs="Times New Roman"/>
          <w:sz w:val="24"/>
          <w:szCs w:val="24"/>
        </w:rPr>
        <w:t xml:space="preserve">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C597B">
        <w:rPr>
          <w:rFonts w:ascii="Times New Roman" w:hAnsi="Times New Roman" w:cs="Times New Roman"/>
          <w:sz w:val="24"/>
          <w:szCs w:val="24"/>
        </w:rPr>
        <w:t>13 500</w:t>
      </w:r>
      <w:r>
        <w:rPr>
          <w:rFonts w:ascii="Times New Roman" w:hAnsi="Times New Roman" w:cs="Times New Roman"/>
          <w:sz w:val="24"/>
          <w:szCs w:val="24"/>
        </w:rPr>
        <w:t xml:space="preserve"> (</w:t>
      </w:r>
      <w:r w:rsidR="00EC597B">
        <w:rPr>
          <w:rFonts w:ascii="Times New Roman" w:hAnsi="Times New Roman" w:cs="Times New Roman"/>
          <w:sz w:val="24"/>
          <w:szCs w:val="24"/>
        </w:rPr>
        <w:t>Тринадцать тысяч пятьсот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041841">
        <w:rPr>
          <w:rFonts w:ascii="Times New Roman" w:hAnsi="Times New Roman" w:cs="Times New Roman"/>
          <w:sz w:val="24"/>
          <w:szCs w:val="24"/>
        </w:rPr>
        <w:t>225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041841">
        <w:rPr>
          <w:rFonts w:ascii="Times New Roman" w:hAnsi="Times New Roman" w:cs="Times New Roman"/>
          <w:sz w:val="24"/>
          <w:szCs w:val="24"/>
        </w:rPr>
        <w:t>Двести двадцать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w:t>
      </w:r>
      <w:bookmarkStart w:id="0" w:name="_GoBack"/>
      <w:bookmarkEnd w:id="0"/>
      <w:r w:rsidRPr="00DA2BBC">
        <w:rPr>
          <w:rFonts w:ascii="Times New Roman" w:hAnsi="Times New Roman" w:cs="Times New Roman"/>
          <w:sz w:val="24"/>
          <w:szCs w:val="24"/>
        </w:rPr>
        <w:t>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 (все страницы с 1 по 20);</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 xml:space="preserve">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4"/>
          <w:szCs w:val="24"/>
        </w:rPr>
        <w:lastRenderedPageBreak/>
        <w:t>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w:t>
      </w:r>
      <w:r w:rsidRPr="00715D03">
        <w:rPr>
          <w:rFonts w:ascii="Times New Roman" w:hAnsi="Times New Roman" w:cs="Times New Roman"/>
          <w:sz w:val="24"/>
          <w:szCs w:val="24"/>
        </w:rPr>
        <w:lastRenderedPageBreak/>
        <w:t>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7B" w:rsidRDefault="00EC597B" w:rsidP="00813DE9">
      <w:pPr>
        <w:spacing w:after="0" w:line="240" w:lineRule="auto"/>
      </w:pPr>
      <w:r>
        <w:separator/>
      </w:r>
    </w:p>
  </w:endnote>
  <w:endnote w:type="continuationSeparator" w:id="0">
    <w:p w:rsidR="00EC597B" w:rsidRDefault="00EC597B"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7B" w:rsidRDefault="00EC597B" w:rsidP="00813DE9">
      <w:pPr>
        <w:spacing w:after="0" w:line="240" w:lineRule="auto"/>
      </w:pPr>
      <w:r>
        <w:separator/>
      </w:r>
    </w:p>
  </w:footnote>
  <w:footnote w:type="continuationSeparator" w:id="0">
    <w:p w:rsidR="00EC597B" w:rsidRDefault="00EC597B"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EC597B" w:rsidRDefault="00EC597B">
        <w:pPr>
          <w:pStyle w:val="ac"/>
          <w:jc w:val="center"/>
        </w:pPr>
        <w:r>
          <w:fldChar w:fldCharType="begin"/>
        </w:r>
        <w:r>
          <w:instrText>PAGE   \* MERGEFORMAT</w:instrText>
        </w:r>
        <w:r>
          <w:fldChar w:fldCharType="separate"/>
        </w:r>
        <w:r w:rsidR="00DA2BBC">
          <w:rPr>
            <w:noProof/>
          </w:rPr>
          <w:t>4</w:t>
        </w:r>
        <w:r>
          <w:fldChar w:fldCharType="end"/>
        </w:r>
      </w:p>
    </w:sdtContent>
  </w:sdt>
  <w:p w:rsidR="00EC597B" w:rsidRDefault="00EC59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21390"/>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519D-44FC-490A-B7B1-5D095018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7108</TotalTime>
  <Pages>9</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65</cp:revision>
  <cp:lastPrinted>2023-07-20T11:30:00Z</cp:lastPrinted>
  <dcterms:created xsi:type="dcterms:W3CDTF">2023-02-28T05:34:00Z</dcterms:created>
  <dcterms:modified xsi:type="dcterms:W3CDTF">2023-07-28T12:45:00Z</dcterms:modified>
</cp:coreProperties>
</file>