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92" w:rsidRDefault="00D42392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4239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2392" w:rsidRDefault="00D42392">
            <w:pPr>
              <w:pStyle w:val="ConsPlusNormal"/>
            </w:pPr>
            <w:r>
              <w:t>12 мая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2392" w:rsidRDefault="00D42392">
            <w:pPr>
              <w:pStyle w:val="ConsPlusNormal"/>
              <w:jc w:val="right"/>
            </w:pPr>
            <w:r>
              <w:t>N 24-РЗ</w:t>
            </w:r>
          </w:p>
        </w:tc>
      </w:tr>
    </w:tbl>
    <w:p w:rsidR="00D42392" w:rsidRDefault="00D423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Title"/>
        <w:jc w:val="center"/>
      </w:pPr>
      <w:r>
        <w:t>ЗАКОН</w:t>
      </w:r>
    </w:p>
    <w:p w:rsidR="00D42392" w:rsidRDefault="00D42392">
      <w:pPr>
        <w:pStyle w:val="ConsPlusTitle"/>
        <w:jc w:val="center"/>
      </w:pPr>
      <w:r>
        <w:t>УДМУРТСКОЙ РЕСПУБЛИКИ</w:t>
      </w:r>
    </w:p>
    <w:p w:rsidR="00D42392" w:rsidRDefault="00D42392">
      <w:pPr>
        <w:pStyle w:val="ConsPlusTitle"/>
        <w:jc w:val="center"/>
      </w:pPr>
    </w:p>
    <w:p w:rsidR="00D42392" w:rsidRDefault="00D42392">
      <w:pPr>
        <w:pStyle w:val="ConsPlusTitle"/>
        <w:jc w:val="center"/>
      </w:pPr>
      <w:r>
        <w:t>О КРИТЕРИЯХ, КОТОРЫМ ДОЛЖНЫ СООТВЕТСТВОВАТЬ ОБЪЕКТЫ</w:t>
      </w:r>
    </w:p>
    <w:p w:rsidR="00D42392" w:rsidRDefault="00D42392">
      <w:pPr>
        <w:pStyle w:val="ConsPlusTitle"/>
        <w:jc w:val="center"/>
      </w:pPr>
      <w:r>
        <w:t>СОЦИАЛЬНО-КУЛЬТУРНОГО И КОММУНАЛЬНО-БЫТОВОГО НАЗНАЧЕНИЯ,</w:t>
      </w:r>
    </w:p>
    <w:p w:rsidR="00D42392" w:rsidRDefault="00D42392">
      <w:pPr>
        <w:pStyle w:val="ConsPlusTitle"/>
        <w:jc w:val="center"/>
      </w:pPr>
      <w:r>
        <w:t>МАСШТАБНЫЕ ИНВЕСТИЦИОННЫЕ ПРОЕКТЫ, В ЦЕЛЯХ ПРЕДОСТАВЛЕНИЯ</w:t>
      </w:r>
    </w:p>
    <w:p w:rsidR="00D42392" w:rsidRDefault="00D42392">
      <w:pPr>
        <w:pStyle w:val="ConsPlusTitle"/>
        <w:jc w:val="center"/>
      </w:pPr>
      <w:r>
        <w:t>ЗЕМЕЛЬНЫХ УЧАСТКОВ В АРЕНДУ БЕЗ ПРОВЕДЕНИЯ ТОРГОВ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jc w:val="right"/>
      </w:pPr>
      <w:proofErr w:type="gramStart"/>
      <w:r>
        <w:t>Принят</w:t>
      </w:r>
      <w:proofErr w:type="gramEnd"/>
    </w:p>
    <w:p w:rsidR="00D42392" w:rsidRDefault="00D42392">
      <w:pPr>
        <w:pStyle w:val="ConsPlusNormal"/>
        <w:jc w:val="right"/>
      </w:pPr>
      <w:r>
        <w:t>Государственным Советом</w:t>
      </w:r>
    </w:p>
    <w:p w:rsidR="00D42392" w:rsidRDefault="00D42392">
      <w:pPr>
        <w:pStyle w:val="ConsPlusNormal"/>
        <w:jc w:val="right"/>
      </w:pPr>
      <w:r>
        <w:t>Удмуртской Республики</w:t>
      </w:r>
    </w:p>
    <w:p w:rsidR="00D42392" w:rsidRDefault="00D42392">
      <w:pPr>
        <w:pStyle w:val="ConsPlusNormal"/>
        <w:jc w:val="right"/>
      </w:pPr>
      <w:r>
        <w:t xml:space="preserve">30 апреля 2015 г. </w:t>
      </w:r>
      <w:hyperlink r:id="rId5" w:history="1">
        <w:r>
          <w:rPr>
            <w:color w:val="0000FF"/>
          </w:rPr>
          <w:t>N 543-V</w:t>
        </w:r>
      </w:hyperlink>
    </w:p>
    <w:p w:rsidR="00D42392" w:rsidRDefault="00D4239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4239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42392" w:rsidRDefault="00D4239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42392" w:rsidRDefault="00D4239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УР от 16.07.2015 </w:t>
            </w:r>
            <w:hyperlink r:id="rId6" w:history="1">
              <w:r>
                <w:rPr>
                  <w:color w:val="0000FF"/>
                </w:rPr>
                <w:t>N 56-РЗ</w:t>
              </w:r>
            </w:hyperlink>
            <w:r>
              <w:rPr>
                <w:color w:val="392C69"/>
              </w:rPr>
              <w:t xml:space="preserve">, от 11.10.2016 </w:t>
            </w:r>
            <w:hyperlink r:id="rId7" w:history="1">
              <w:r>
                <w:rPr>
                  <w:color w:val="0000FF"/>
                </w:rPr>
                <w:t>N 65-РЗ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42392" w:rsidRDefault="00D423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10.05.2017 </w:t>
            </w:r>
            <w:hyperlink r:id="rId8" w:history="1">
              <w:r>
                <w:rPr>
                  <w:color w:val="0000FF"/>
                </w:rPr>
                <w:t>N 25-РЗ</w:t>
              </w:r>
            </w:hyperlink>
            <w:r>
              <w:rPr>
                <w:color w:val="392C69"/>
              </w:rPr>
              <w:t xml:space="preserve">, от 20.06.2017 </w:t>
            </w:r>
            <w:hyperlink r:id="rId9" w:history="1">
              <w:r>
                <w:rPr>
                  <w:color w:val="0000FF"/>
                </w:rPr>
                <w:t>N 49-РЗ</w:t>
              </w:r>
            </w:hyperlink>
            <w:r>
              <w:rPr>
                <w:color w:val="392C69"/>
              </w:rPr>
              <w:t xml:space="preserve">, от 19.03.2018 </w:t>
            </w:r>
            <w:hyperlink r:id="rId10" w:history="1">
              <w:r>
                <w:rPr>
                  <w:color w:val="0000FF"/>
                </w:rPr>
                <w:t>N 7-РЗ</w:t>
              </w:r>
            </w:hyperlink>
            <w:r>
              <w:rPr>
                <w:color w:val="392C69"/>
              </w:rPr>
              <w:t>,</w:t>
            </w:r>
          </w:p>
          <w:p w:rsidR="00D42392" w:rsidRDefault="00D4239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13.07.2018 </w:t>
            </w:r>
            <w:hyperlink r:id="rId11" w:history="1">
              <w:r>
                <w:rPr>
                  <w:color w:val="0000FF"/>
                </w:rPr>
                <w:t>N 42-РЗ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</w:pPr>
      <w:proofErr w:type="gramStart"/>
      <w:r>
        <w:t xml:space="preserve">Настоящим Законом в целях реализации положений </w:t>
      </w:r>
      <w:hyperlink r:id="rId12" w:history="1">
        <w:r>
          <w:rPr>
            <w:color w:val="0000FF"/>
          </w:rPr>
          <w:t>подпункта 3 пункта 2 статьи 39.6</w:t>
        </w:r>
      </w:hyperlink>
      <w:r>
        <w:t xml:space="preserve"> Земельного кодекса Российской Федерации устанавливаются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юридическим лицам земельных участков, находящихся в государственной собственности Удмуртской Республики, земельных участков, находящихся в муниципальной собственности, или земельных участков, государственная собственность на которые не разграничена</w:t>
      </w:r>
      <w:proofErr w:type="gramEnd"/>
      <w:r>
        <w:t>, в аренду без проведения торгов в соответствии с распоряжениями Главы Удмуртской Республики.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  <w:outlineLvl w:val="0"/>
      </w:pPr>
      <w:r>
        <w:t>Статья 2. Критерии, которым должны соответствовать объекты социально-культурного назначения и объекты коммунально-бытового назначения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</w:pPr>
      <w:r>
        <w:t>1. Предоставление земельного участка (земельных участков) в аренду без проведения торгов допускается при условии соответствия объекта социально-культурного назначения и (или) объекта коммунально-бытового назначения одновременно следующим критериям: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1) объект соответствует целям и задачам, определенным в документах стратегического планирования Российской Федерации, Удмуртской Республики, муниципальных образований в Удмуртской Республике;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 xml:space="preserve">2) юридическое лицо или его филиал, планирующие размещение (строительство) </w:t>
      </w:r>
      <w:r>
        <w:lastRenderedPageBreak/>
        <w:t>объекта социально-культурного назначения и (или) объекта коммунально-бытового назначения, поставлены на учет в налоговых органах на территории Удмуртской Республики.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2. В целях реализации настоящей статьи:</w:t>
      </w:r>
    </w:p>
    <w:p w:rsidR="00D42392" w:rsidRDefault="00D42392">
      <w:pPr>
        <w:pStyle w:val="ConsPlusNormal"/>
        <w:spacing w:before="240"/>
        <w:ind w:firstLine="540"/>
        <w:jc w:val="both"/>
      </w:pPr>
      <w:proofErr w:type="gramStart"/>
      <w:r>
        <w:t>1) объектами социально-культурного назначения признаются объекты здравоохранения, культуры, образования, детские лагеря отдыха, санатории (профилактории), базы отдыха, пансионаты, объекты физкультуры и спорта, объекты социального обслуживания населения;</w:t>
      </w:r>
      <w:proofErr w:type="gramEnd"/>
    </w:p>
    <w:p w:rsidR="00D42392" w:rsidRDefault="00D42392">
      <w:pPr>
        <w:pStyle w:val="ConsPlusNormal"/>
        <w:spacing w:before="240"/>
        <w:ind w:firstLine="540"/>
        <w:jc w:val="both"/>
      </w:pPr>
      <w:r>
        <w:t>2) объектами коммунально-бытового назначения признаются объекты электроэнергетики, газоснабжения, теплоснабжения, водоснабжения, водоотведения, бытового обслуживания, объекты, относящиеся к сфере обращения с отходами.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  <w:outlineLvl w:val="0"/>
      </w:pPr>
      <w:r>
        <w:t>Статья 3. Критерии, которым должны соответствовать масштабные инвестиционные проекты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</w:pPr>
      <w:bookmarkStart w:id="1" w:name="P41"/>
      <w:bookmarkEnd w:id="1"/>
      <w:r>
        <w:t>1. Предоставление земельного участка (земельных участков) в аренду без проведения торгов допускается при условии соответствия масштабного инвестиционного проекта одновременно следующим критериям: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1) инвестиционный проект соответствует целям и задачам, определенным в документах стратегического планирования Российской Федерации, Удмуртской Республики, муниципальных образований в Удмуртской Республике;</w:t>
      </w:r>
    </w:p>
    <w:p w:rsidR="00D42392" w:rsidRDefault="00D42392">
      <w:pPr>
        <w:pStyle w:val="ConsPlusNormal"/>
        <w:spacing w:before="240"/>
        <w:ind w:firstLine="540"/>
        <w:jc w:val="both"/>
      </w:pPr>
      <w:bookmarkStart w:id="2" w:name="P43"/>
      <w:bookmarkEnd w:id="2"/>
      <w:r>
        <w:t>2) инвестиционный проект направлен на создание (расширение) производства товаров на новых производственных площадках на территории Удмуртской Республики.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Под новыми производственными площадками в настоящем пункте понимается вновь образуемый имущественный комплекс организации - производителя товара, представляющий собой совокупность объектов недвижимого и иного имущества, предназначенного для выполнения всего процесса производства товара или его определенной стадии в рамках инвестиционного проекта, для реализации которого запрашивается земельный участок в аренду без проведения торгов;</w:t>
      </w:r>
    </w:p>
    <w:p w:rsidR="00D42392" w:rsidRDefault="00D42392">
      <w:pPr>
        <w:pStyle w:val="ConsPlusNormal"/>
        <w:jc w:val="both"/>
      </w:pPr>
      <w:r>
        <w:t xml:space="preserve">(п. 2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УР от 13.07.2018 N 42-РЗ)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3) инвестиционный проект не направлен на следующие цели:</w:t>
      </w:r>
    </w:p>
    <w:p w:rsidR="00D42392" w:rsidRDefault="00D42392">
      <w:pPr>
        <w:pStyle w:val="ConsPlusNormal"/>
        <w:spacing w:before="240"/>
        <w:ind w:firstLine="540"/>
        <w:jc w:val="both"/>
      </w:pPr>
      <w:proofErr w:type="gramStart"/>
      <w:r>
        <w:t>добыча нефти, добыча природного газа и (или) газового конденсата, оказание услуг по транспортировке нефти и (или) нефтепродуктов, газа и (или) газового конденсата;</w:t>
      </w:r>
      <w:proofErr w:type="gramEnd"/>
    </w:p>
    <w:p w:rsidR="00D42392" w:rsidRDefault="00D4239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УР от 19.03.2018 N 7-РЗ)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производство подакцизных товаров (за исключением легковых автомобилей и мотоциклов);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развитие оптовой и розничной торговли (за исключением оказания услуг по реализации газа);</w:t>
      </w:r>
    </w:p>
    <w:p w:rsidR="00D42392" w:rsidRDefault="00D42392">
      <w:pPr>
        <w:pStyle w:val="ConsPlusNormal"/>
        <w:spacing w:before="240"/>
        <w:ind w:firstLine="540"/>
        <w:jc w:val="both"/>
      </w:pPr>
      <w:bookmarkStart w:id="3" w:name="P51"/>
      <w:bookmarkEnd w:id="3"/>
      <w:r>
        <w:t xml:space="preserve">4) суммарный объем инвестиций в рамках реализации инвестиционного проекта не менее размера, установленного настоящим пунктом, с учетом вида экономической деятельности, по которому будет организовано новое производство в рамках инвестиционного проекта, согласно Общероссийскому </w:t>
      </w:r>
      <w:hyperlink r:id="rId16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2), принятого приказом Федерального агентства по техническому регулированию и метрологии от 31 января 2014 года N 14-ст: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 xml:space="preserve">а) для инвестиционных проектов по виду экономической деятельности </w:t>
      </w:r>
      <w:hyperlink r:id="rId17" w:history="1">
        <w:r>
          <w:rPr>
            <w:color w:val="0000FF"/>
          </w:rPr>
          <w:t>раздела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"Сельское, лесное хозяйство, охота, рыболовство и рыбоводство", а также по видам экономической деятельности </w:t>
      </w:r>
      <w:hyperlink r:id="rId18" w:history="1">
        <w:r>
          <w:rPr>
            <w:color w:val="0000FF"/>
          </w:rPr>
          <w:t>групп 10</w:t>
        </w:r>
      </w:hyperlink>
      <w:r>
        <w:t xml:space="preserve"> "Производство пищевых продуктов" и </w:t>
      </w:r>
      <w:hyperlink r:id="rId19" w:history="1">
        <w:r>
          <w:rPr>
            <w:color w:val="0000FF"/>
          </w:rPr>
          <w:t>11</w:t>
        </w:r>
      </w:hyperlink>
      <w:r>
        <w:t xml:space="preserve"> "Производство напитков" раздела С "Обрабатывающие производства":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 xml:space="preserve">50 миллионов рублей при условии осуществления капитальных вложений в срок, не превышающий трех лет </w:t>
      </w:r>
      <w:proofErr w:type="gramStart"/>
      <w:r>
        <w:t>с даты принятия</w:t>
      </w:r>
      <w:proofErr w:type="gramEnd"/>
      <w:r>
        <w:t xml:space="preserve"> решения о предоставлении земельного участка в аренду без проведения торгов;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б) для инвестиционных проектов по прочим видам экономической деятельности: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 xml:space="preserve">100 миллионов рублей при условии осуществления капитальных вложений в срок, не превышающий трех лет </w:t>
      </w:r>
      <w:proofErr w:type="gramStart"/>
      <w:r>
        <w:t>с даты принятия</w:t>
      </w:r>
      <w:proofErr w:type="gramEnd"/>
      <w:r>
        <w:t xml:space="preserve"> решения о предоставлении земельного участка в аренду без проведения торгов;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5) реализация инвестиционного проекта повлечет увеличение ежегодных налоговых поступлений в консолидированный бюджет Удмуртской Республики;</w:t>
      </w:r>
    </w:p>
    <w:p w:rsidR="00D42392" w:rsidRDefault="00D42392">
      <w:pPr>
        <w:pStyle w:val="ConsPlusNormal"/>
        <w:jc w:val="both"/>
      </w:pPr>
      <w:r>
        <w:t xml:space="preserve">(п. 5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6) юридическое лицо или его филиал, планирующие реализацию или реализующие инвестиционный проект, поставлены на учет в налоговых органах на территории Удмуртской Республики.</w:t>
      </w:r>
    </w:p>
    <w:p w:rsidR="00D42392" w:rsidRDefault="00D42392">
      <w:pPr>
        <w:pStyle w:val="ConsPlusNormal"/>
        <w:jc w:val="both"/>
      </w:pPr>
      <w:r>
        <w:t xml:space="preserve">(п. 6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>2. Инвестиционные проекты, включенные в состав федеральных целевых программ и (или) государственных программ Российской Федерации, считаются масштабными инвестиционными проектами вне зависимости от объема инвестиций.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 xml:space="preserve">Инвестиционные проекты, направленные на строительство многоквартирных домов и иных объектов недвижимости в случае предоставления мер по защите прав граждан - участников долевого строительства многоквартирных домов, пострадавших от действий (бездействия) недобросовестных застройщиков, в соответствии с </w:t>
      </w:r>
      <w:hyperlink r:id="rId22" w:history="1">
        <w:r>
          <w:rPr>
            <w:color w:val="0000FF"/>
          </w:rPr>
          <w:t>Законом</w:t>
        </w:r>
      </w:hyperlink>
      <w:r>
        <w:t xml:space="preserve"> Удмуртской Республики от 8 июля 2014 года N 42-РЗ "О мерах по защите прав граждан - участников долевого строительства многоквартирных домов на территории Удмуртской Республики, пострадавших от</w:t>
      </w:r>
      <w:proofErr w:type="gramEnd"/>
      <w:r>
        <w:t xml:space="preserve"> действий (бездействия) недобросовестных застройщиков" считаются масштабными инвестиционными проектами без учета критериев, указанных в </w:t>
      </w:r>
      <w:hyperlink w:anchor="P41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D42392" w:rsidRDefault="00D42392">
      <w:pPr>
        <w:pStyle w:val="ConsPlusNormal"/>
        <w:jc w:val="both"/>
      </w:pPr>
      <w:r>
        <w:t xml:space="preserve">(в ред. Законов УР от 11.10.2016 </w:t>
      </w:r>
      <w:hyperlink r:id="rId23" w:history="1">
        <w:r>
          <w:rPr>
            <w:color w:val="0000FF"/>
          </w:rPr>
          <w:t>N 65-РЗ</w:t>
        </w:r>
      </w:hyperlink>
      <w:r>
        <w:t xml:space="preserve">, от 10.05.2017 </w:t>
      </w:r>
      <w:hyperlink r:id="rId24" w:history="1">
        <w:r>
          <w:rPr>
            <w:color w:val="0000FF"/>
          </w:rPr>
          <w:t>N 25-РЗ</w:t>
        </w:r>
      </w:hyperlink>
      <w:r>
        <w:t xml:space="preserve">, от 20.06.2017 </w:t>
      </w:r>
      <w:hyperlink r:id="rId25" w:history="1">
        <w:r>
          <w:rPr>
            <w:color w:val="0000FF"/>
          </w:rPr>
          <w:t>N 49-РЗ</w:t>
        </w:r>
      </w:hyperlink>
      <w:r>
        <w:t>)</w:t>
      </w:r>
    </w:p>
    <w:p w:rsidR="00D42392" w:rsidRDefault="00D42392">
      <w:pPr>
        <w:pStyle w:val="ConsPlusNormal"/>
        <w:spacing w:before="240"/>
        <w:ind w:firstLine="540"/>
        <w:jc w:val="both"/>
      </w:pPr>
      <w:proofErr w:type="gramStart"/>
      <w:r>
        <w:t xml:space="preserve">При этом количество квадратных метров общей площади жилых помещений, которые будут предоставлены юридическим лицом указанным гражданам, определяется по результатам конкурса, проведенного в соответствии со </w:t>
      </w:r>
      <w:hyperlink r:id="rId26" w:history="1">
        <w:r>
          <w:rPr>
            <w:color w:val="0000FF"/>
          </w:rPr>
          <w:t>статьей 7</w:t>
        </w:r>
      </w:hyperlink>
      <w:r>
        <w:t xml:space="preserve"> Закона Удмуртской Республики от 8 июля 2014 года N 42-РЗ "О мерах по защите прав граждан - участников долевого строительства многоквартирных домов на территории Удмуртской Республики, пострадавших от действий (бездействия) недобросовестных застройщиков.</w:t>
      </w:r>
      <w:proofErr w:type="gramEnd"/>
    </w:p>
    <w:p w:rsidR="00D42392" w:rsidRDefault="00D42392">
      <w:pPr>
        <w:pStyle w:val="ConsPlusNormal"/>
        <w:jc w:val="both"/>
      </w:pPr>
      <w:r>
        <w:t xml:space="preserve">(часть 3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УР от 16.07.2015 N 56-РЗ)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Инвестиционные проекты по строительству объектов недвижимости с суммарным объемом инвестиций не менее 30 миллионов рублей при условии осуществления таких капитальных вложений в срок, не превышающий пяти лет с даты принятия решения о предоставлении земельного участка в аренду без проведения торгов, считаются масштабными инвестиционными проектами без учета критериев, указанных в </w:t>
      </w:r>
      <w:hyperlink w:anchor="P43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51" w:history="1">
        <w:r>
          <w:rPr>
            <w:color w:val="0000FF"/>
          </w:rPr>
          <w:t>4 части 1</w:t>
        </w:r>
      </w:hyperlink>
      <w:r>
        <w:t xml:space="preserve"> настоящей статьи, в случае, если</w:t>
      </w:r>
      <w:proofErr w:type="gramEnd"/>
      <w:r>
        <w:t xml:space="preserve"> юридическое лицо, реализующее такой инвестиционный проект, приняло обязательства в порядке перевода долга перед участниками строительства по передаче жилых помещений в соответствии со </w:t>
      </w:r>
      <w:hyperlink r:id="rId28" w:history="1">
        <w:r>
          <w:rPr>
            <w:color w:val="0000FF"/>
          </w:rPr>
          <w:t>статьями 201.15-1</w:t>
        </w:r>
      </w:hyperlink>
      <w:r>
        <w:t xml:space="preserve"> и </w:t>
      </w:r>
      <w:hyperlink r:id="rId29" w:history="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</w:p>
    <w:p w:rsidR="00D42392" w:rsidRDefault="00D42392">
      <w:pPr>
        <w:pStyle w:val="ConsPlusNormal"/>
        <w:spacing w:before="240"/>
        <w:ind w:firstLine="540"/>
        <w:jc w:val="both"/>
      </w:pPr>
      <w:proofErr w:type="gramStart"/>
      <w:r>
        <w:t xml:space="preserve">При этом объем принятых юридическим лицом обязательств по передаче жилых помещений участникам строительства должен превышать стоимость переданного юридическому лицу объекта незавершенного строительства и земельного участка, указанных в договоре передачи объекта незавершенного строительства, земельного участка и обязательств застройщика в соответствии со </w:t>
      </w:r>
      <w:hyperlink r:id="rId30" w:history="1">
        <w:r>
          <w:rPr>
            <w:color w:val="0000FF"/>
          </w:rPr>
          <w:t>статьями 201.15-1</w:t>
        </w:r>
      </w:hyperlink>
      <w:r>
        <w:t xml:space="preserve"> и </w:t>
      </w:r>
      <w:hyperlink r:id="rId31" w:history="1">
        <w:r>
          <w:rPr>
            <w:color w:val="0000FF"/>
          </w:rPr>
          <w:t>201.15-2</w:t>
        </w:r>
      </w:hyperlink>
      <w:r>
        <w:t xml:space="preserve"> Федерального закона от 26 октября 2002 года N 127-ФЗ "О несостоятельности (банкротстве)".</w:t>
      </w:r>
      <w:proofErr w:type="gramEnd"/>
    </w:p>
    <w:p w:rsidR="00D42392" w:rsidRDefault="00D42392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D42392" w:rsidRDefault="00D42392">
      <w:pPr>
        <w:pStyle w:val="ConsPlusNormal"/>
        <w:jc w:val="both"/>
      </w:pPr>
      <w:r>
        <w:t xml:space="preserve">(часть 4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УР от 10.05.2017 N 25-РЗ)</w:t>
      </w:r>
    </w:p>
    <w:p w:rsidR="00D42392" w:rsidRDefault="00D42392">
      <w:pPr>
        <w:pStyle w:val="ConsPlusNormal"/>
        <w:spacing w:before="240"/>
        <w:ind w:firstLine="540"/>
        <w:jc w:val="both"/>
      </w:pPr>
      <w:r>
        <w:t xml:space="preserve">5. Инвестиционные проекты, реализуемые (планируемые к реализации) резидентами территорий опережающего социально-экономического развития, созданных на территории Удмуртской Республики, считаются масштабными инвестиционными проектами без учета критериев, указанных в </w:t>
      </w:r>
      <w:hyperlink w:anchor="P41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D42392" w:rsidRDefault="00D4239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введена </w:t>
      </w:r>
      <w:hyperlink r:id="rId34" w:history="1">
        <w:r>
          <w:rPr>
            <w:color w:val="0000FF"/>
          </w:rPr>
          <w:t>Законом</w:t>
        </w:r>
      </w:hyperlink>
      <w:r>
        <w:t xml:space="preserve"> УР от 19.03.2018 N 7-РЗ)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  <w:outlineLvl w:val="0"/>
      </w:pPr>
      <w:r>
        <w:t>Статья 4. Порядок принятия решения о предоставлении земельных участков в аренду без проведения торгов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</w:pPr>
      <w:r>
        <w:t>Порядок принятия решения о предоставлении юридическим лицам земельных участков в соответствии с настоящим Законом определяется Главой Удмуртской Республики.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  <w:outlineLvl w:val="0"/>
      </w:pPr>
      <w:r>
        <w:t>Статья 5. Вступление в силу настоящего Закона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jc w:val="right"/>
      </w:pPr>
      <w:r>
        <w:t>Глава</w:t>
      </w:r>
    </w:p>
    <w:p w:rsidR="00D42392" w:rsidRDefault="00D42392">
      <w:pPr>
        <w:pStyle w:val="ConsPlusNormal"/>
        <w:jc w:val="right"/>
      </w:pPr>
      <w:r>
        <w:t>Удмуртской Республики</w:t>
      </w:r>
    </w:p>
    <w:p w:rsidR="00D42392" w:rsidRDefault="00D42392">
      <w:pPr>
        <w:pStyle w:val="ConsPlusNormal"/>
        <w:jc w:val="right"/>
      </w:pPr>
      <w:r>
        <w:t>А.В.СОЛОВЬЕВ</w:t>
      </w:r>
    </w:p>
    <w:p w:rsidR="00D42392" w:rsidRDefault="00D42392">
      <w:pPr>
        <w:pStyle w:val="ConsPlusNormal"/>
      </w:pPr>
      <w:r>
        <w:t>г. Ижевск</w:t>
      </w:r>
    </w:p>
    <w:p w:rsidR="00D42392" w:rsidRDefault="00D42392">
      <w:pPr>
        <w:pStyle w:val="ConsPlusNormal"/>
        <w:spacing w:before="240"/>
      </w:pPr>
      <w:r>
        <w:t>12 мая 2015 года</w:t>
      </w:r>
    </w:p>
    <w:p w:rsidR="00D42392" w:rsidRDefault="00D42392">
      <w:pPr>
        <w:pStyle w:val="ConsPlusNormal"/>
        <w:spacing w:before="240"/>
      </w:pPr>
      <w:r>
        <w:t>N 24-РЗ</w:t>
      </w: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jc w:val="both"/>
      </w:pPr>
    </w:p>
    <w:p w:rsidR="00D42392" w:rsidRDefault="00D423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D3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92"/>
    <w:rsid w:val="00584B4C"/>
    <w:rsid w:val="007166ED"/>
    <w:rsid w:val="00D42392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D42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D42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D42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D42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D423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D42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51192D059673D023B971AF8B0F2CE5CACFC05BB59A98431A9EF8A80CB1AD0EEF7781C46983C00AB564DR936J" TargetMode="External"/><Relationship Id="rId13" Type="http://schemas.openxmlformats.org/officeDocument/2006/relationships/hyperlink" Target="consultantplus://offline/ref=52551192D059673D023B971AF8B0F2CE5CACFC05B358A08234A6B280889216D2E9F8270B41D13001AB564D97RC3BJ" TargetMode="External"/><Relationship Id="rId18" Type="http://schemas.openxmlformats.org/officeDocument/2006/relationships/hyperlink" Target="consultantplus://offline/ref=52551192D059673D023B8917EEDCACC65CA7A20FB45BABD46DF6B4D7D7C21087A9B8215E02953A01RA3FJ" TargetMode="External"/><Relationship Id="rId26" Type="http://schemas.openxmlformats.org/officeDocument/2006/relationships/hyperlink" Target="consultantplus://offline/ref=52551192D059673D023B971AF8B0F2CE5CACFC05BB5BA28634A9EF8A80CB1AD0EEF7781C46983C00AB564AR931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551192D059673D023B971AF8B0F2CE5CACFC05B358A08234A6B280889216D2E9F8270B41D13001AB564D99RC3CJ" TargetMode="External"/><Relationship Id="rId34" Type="http://schemas.openxmlformats.org/officeDocument/2006/relationships/hyperlink" Target="consultantplus://offline/ref=52551192D059673D023B971AF8B0F2CE5CACFC05B358A08234A6B280889216D2E9F8270B41D13001AB564D99RC3FJ" TargetMode="External"/><Relationship Id="rId7" Type="http://schemas.openxmlformats.org/officeDocument/2006/relationships/hyperlink" Target="consultantplus://offline/ref=52551192D059673D023B971AF8B0F2CE5CACFC05BA5EA38136A9EF8A80CB1AD0EEF7781C46983C00AB564AR936J" TargetMode="External"/><Relationship Id="rId12" Type="http://schemas.openxmlformats.org/officeDocument/2006/relationships/hyperlink" Target="consultantplus://offline/ref=52551192D059673D023B8917EEDCACC65CA7A30AB25CABD46DF6B4D7D7C21087A9B8215B05R935J" TargetMode="External"/><Relationship Id="rId17" Type="http://schemas.openxmlformats.org/officeDocument/2006/relationships/hyperlink" Target="consultantplus://offline/ref=52551192D059673D023B8917EEDCACC65CA7A20FB45BABD46DF6B4D7D7C21087A9B8215E02953C03RA38J" TargetMode="External"/><Relationship Id="rId25" Type="http://schemas.openxmlformats.org/officeDocument/2006/relationships/hyperlink" Target="consultantplus://offline/ref=52551192D059673D023B971AF8B0F2CE5CACFC05BB5BA18738A9EF8A80CB1AD0EEF7781C46983C00AB564CR935J" TargetMode="External"/><Relationship Id="rId33" Type="http://schemas.openxmlformats.org/officeDocument/2006/relationships/hyperlink" Target="consultantplus://offline/ref=52551192D059673D023B971AF8B0F2CE5CACFC05BB59A98431A9EF8A80CB1AD0EEF7781C46983C00AB564DR938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551192D059673D023B8917EEDCACC65CA7A20FB45BABD46DF6B4D7D7RC32J" TargetMode="External"/><Relationship Id="rId20" Type="http://schemas.openxmlformats.org/officeDocument/2006/relationships/hyperlink" Target="consultantplus://offline/ref=52551192D059673D023B971AF8B0F2CE5CACFC05B358A08234A6B280889216D2E9F8270B41D13001AB564D96RC34J" TargetMode="External"/><Relationship Id="rId29" Type="http://schemas.openxmlformats.org/officeDocument/2006/relationships/hyperlink" Target="consultantplus://offline/ref=52551192D059673D023B8917EEDCACC65CA7A30EBB51ABD46DF6B4D7D7C21087A9B8215A0B91R33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51192D059673D023B971AF8B0F2CE5CACFC05B55CA78233A9EF8A80CB1AD0EEF7781C46983C00AB564AR932J" TargetMode="External"/><Relationship Id="rId11" Type="http://schemas.openxmlformats.org/officeDocument/2006/relationships/hyperlink" Target="consultantplus://offline/ref=52551192D059673D023B971AF8B0F2CE5CACFC05B358A28B35A2B280889216D2E9F8270B41D13001AB564D94RC3EJ" TargetMode="External"/><Relationship Id="rId24" Type="http://schemas.openxmlformats.org/officeDocument/2006/relationships/hyperlink" Target="consultantplus://offline/ref=52551192D059673D023B971AF8B0F2CE5CACFC05BB59A98431A9EF8A80CB1AD0EEF7781C46983C00AB564DR939J" TargetMode="External"/><Relationship Id="rId32" Type="http://schemas.openxmlformats.org/officeDocument/2006/relationships/hyperlink" Target="consultantplus://offline/ref=52551192D059673D023B971AF8B0F2CE5CACFC05B358A08234A6B280889216D2E9F8270B41D13001AB564D99RC3DJ" TargetMode="External"/><Relationship Id="rId5" Type="http://schemas.openxmlformats.org/officeDocument/2006/relationships/hyperlink" Target="consultantplus://offline/ref=52551192D059673D023B971AF8B0F2CE5CACFC05B55BA38231A9EF8A80CB1AD0EEF7781C46983C00AB564DR934J" TargetMode="External"/><Relationship Id="rId15" Type="http://schemas.openxmlformats.org/officeDocument/2006/relationships/hyperlink" Target="consultantplus://offline/ref=52551192D059673D023B971AF8B0F2CE5CACFC05B358A08234A6B280889216D2E9F8270B41D13001AB564D96RC3AJ" TargetMode="External"/><Relationship Id="rId23" Type="http://schemas.openxmlformats.org/officeDocument/2006/relationships/hyperlink" Target="consultantplus://offline/ref=52551192D059673D023B971AF8B0F2CE5CACFC05BA5EA38136A9EF8A80CB1AD0EEF7781C46983C00AB564AR936J" TargetMode="External"/><Relationship Id="rId28" Type="http://schemas.openxmlformats.org/officeDocument/2006/relationships/hyperlink" Target="consultantplus://offline/ref=52551192D059673D023B8917EEDCACC65CA7A30EBB51ABD46DF6B4D7D7C21087A9B8215A0B94R33F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2551192D059673D023B971AF8B0F2CE5CACFC05B358A08234A6B280889216D2E9F8270B41D13001AB564D97RC3AJ" TargetMode="External"/><Relationship Id="rId19" Type="http://schemas.openxmlformats.org/officeDocument/2006/relationships/hyperlink" Target="consultantplus://offline/ref=52551192D059673D023B8917EEDCACC65CA7A20FB45BABD46DF6B4D7D7C21087A9B8215E02943D02RA3AJ" TargetMode="External"/><Relationship Id="rId31" Type="http://schemas.openxmlformats.org/officeDocument/2006/relationships/hyperlink" Target="consultantplus://offline/ref=52551192D059673D023B8917EEDCACC65CA7A30EBB51ABD46DF6B4D7D7C21087A9B8215A0B91R33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551192D059673D023B971AF8B0F2CE5CACFC05BB5BA18738A9EF8A80CB1AD0EEF7781C46983C00AB564CR935J" TargetMode="External"/><Relationship Id="rId14" Type="http://schemas.openxmlformats.org/officeDocument/2006/relationships/hyperlink" Target="consultantplus://offline/ref=52551192D059673D023B971AF8B0F2CE5CACFC05B358A28B35A2B280889216D2E9F8270B41D13001AB564D94RC3EJ" TargetMode="External"/><Relationship Id="rId22" Type="http://schemas.openxmlformats.org/officeDocument/2006/relationships/hyperlink" Target="consultantplus://offline/ref=52551192D059673D023B971AF8B0F2CE5CACFC05BB5BA28634A9EF8A80CB1AD0RE3EJ" TargetMode="External"/><Relationship Id="rId27" Type="http://schemas.openxmlformats.org/officeDocument/2006/relationships/hyperlink" Target="consultantplus://offline/ref=52551192D059673D023B971AF8B0F2CE5CACFC05B55CA78233A9EF8A80CB1AD0EEF7781C46983C00AB564AR932J" TargetMode="External"/><Relationship Id="rId30" Type="http://schemas.openxmlformats.org/officeDocument/2006/relationships/hyperlink" Target="consultantplus://offline/ref=52551192D059673D023B8917EEDCACC65CA7A30EBB51ABD46DF6B4D7D7C21087A9B8215A0B94R33F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2025</Words>
  <Characters>11546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Статья 1. Предмет регулирования настоящего Закона</vt:lpstr>
      <vt:lpstr>Статья 2. Критерии, которым должны соответствовать объекты социально-культурного</vt:lpstr>
      <vt:lpstr>Статья 3. Критерии, которым должны соответствовать масштабные инвестиционные про</vt:lpstr>
      <vt:lpstr>Статья 4. Порядок принятия решения о предоставлении земельных участков в аренду </vt:lpstr>
      <vt:lpstr>Статья 5. Вступление в силу настоящего Закона</vt:lpstr>
    </vt:vector>
  </TitlesOfParts>
  <Company/>
  <LinksUpToDate>false</LinksUpToDate>
  <CharactersWithSpaces>13544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2018-08-01T09:55:00Z</dcterms:created>
  <dcterms:modified xsi:type="dcterms:W3CDTF">2018-08-01T09:56:00Z</dcterms:modified>
</cp:coreProperties>
</file>