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5D" w:rsidRDefault="00304B5D" w:rsidP="00304B5D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D600E7">
        <w:rPr>
          <w:b/>
        </w:rPr>
        <w:t xml:space="preserve">Доклад 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>об исполнении муниципальной программы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 xml:space="preserve"> «</w:t>
      </w:r>
      <w:r>
        <w:rPr>
          <w:b/>
        </w:rPr>
        <w:t>Управление муниципальным имуществом</w:t>
      </w:r>
      <w:r w:rsidRPr="00D600E7">
        <w:rPr>
          <w:b/>
        </w:rPr>
        <w:t xml:space="preserve">» </w:t>
      </w:r>
      <w:r>
        <w:rPr>
          <w:b/>
        </w:rPr>
        <w:t xml:space="preserve">на 2020-2025 годы 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  <w:r w:rsidRPr="00D600E7">
        <w:rPr>
          <w:b/>
        </w:rPr>
        <w:t>за 20</w:t>
      </w:r>
      <w:r>
        <w:rPr>
          <w:b/>
        </w:rPr>
        <w:t>2</w:t>
      </w:r>
      <w:r w:rsidR="00B7121C" w:rsidRPr="00B7121C">
        <w:rPr>
          <w:b/>
        </w:rPr>
        <w:t>2</w:t>
      </w:r>
      <w:r w:rsidRPr="00D600E7">
        <w:rPr>
          <w:b/>
        </w:rPr>
        <w:t xml:space="preserve"> год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</w:p>
    <w:p w:rsidR="00304B5D" w:rsidRDefault="00304B5D" w:rsidP="00304B5D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Муниципальная программа утверждена постановлением Администрации муниципального образования «Завьяловский район» от </w:t>
      </w:r>
      <w:r>
        <w:rPr>
          <w:lang w:eastAsia="ru-RU"/>
        </w:rPr>
        <w:t xml:space="preserve">26.08.2019 </w:t>
      </w:r>
      <w:r w:rsidRPr="00313029">
        <w:rPr>
          <w:lang w:eastAsia="ru-RU"/>
        </w:rPr>
        <w:t xml:space="preserve">№ </w:t>
      </w:r>
      <w:r>
        <w:rPr>
          <w:lang w:eastAsia="ru-RU"/>
        </w:rPr>
        <w:t xml:space="preserve">1407 (с изм. </w:t>
      </w:r>
      <w:r w:rsidRPr="00313029">
        <w:rPr>
          <w:lang w:eastAsia="ru-RU"/>
        </w:rPr>
        <w:t xml:space="preserve">от </w:t>
      </w:r>
      <w:r>
        <w:rPr>
          <w:lang w:eastAsia="ru-RU"/>
        </w:rPr>
        <w:t xml:space="preserve">20.02.2020 </w:t>
      </w:r>
      <w:r w:rsidRPr="00313029">
        <w:rPr>
          <w:lang w:eastAsia="ru-RU"/>
        </w:rPr>
        <w:t xml:space="preserve">№ </w:t>
      </w:r>
      <w:r>
        <w:rPr>
          <w:lang w:eastAsia="ru-RU"/>
        </w:rPr>
        <w:t>239, от 03.03.2021 № 310</w:t>
      </w:r>
      <w:r w:rsidR="00B7121C">
        <w:rPr>
          <w:lang w:eastAsia="ru-RU"/>
        </w:rPr>
        <w:t xml:space="preserve">, от 31.03.2022 № 562, </w:t>
      </w:r>
      <w:proofErr w:type="gramStart"/>
      <w:r w:rsidR="00B7121C">
        <w:rPr>
          <w:lang w:eastAsia="ru-RU"/>
        </w:rPr>
        <w:t>от</w:t>
      </w:r>
      <w:proofErr w:type="gramEnd"/>
      <w:r w:rsidR="00B7121C">
        <w:rPr>
          <w:lang w:eastAsia="ru-RU"/>
        </w:rPr>
        <w:t xml:space="preserve"> 06.06.2022 № 1154</w:t>
      </w:r>
      <w:r>
        <w:rPr>
          <w:lang w:eastAsia="ru-RU"/>
        </w:rPr>
        <w:t xml:space="preserve">). </w:t>
      </w:r>
    </w:p>
    <w:p w:rsidR="0018267E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Кассовый расход составил </w:t>
      </w:r>
      <w:r>
        <w:rPr>
          <w:rFonts w:eastAsia="Times New Roman"/>
          <w:kern w:val="2"/>
          <w:lang w:bidi="hi-IN"/>
        </w:rPr>
        <w:t xml:space="preserve"> </w:t>
      </w:r>
      <w:r w:rsidR="00B7121C">
        <w:rPr>
          <w:rFonts w:eastAsia="Times New Roman"/>
          <w:kern w:val="2"/>
          <w:lang w:bidi="hi-IN"/>
        </w:rPr>
        <w:t>20 603,5</w:t>
      </w:r>
      <w:r>
        <w:rPr>
          <w:rFonts w:eastAsia="Times New Roman"/>
          <w:kern w:val="2"/>
          <w:lang w:bidi="hi-IN"/>
        </w:rPr>
        <w:t xml:space="preserve"> </w:t>
      </w:r>
      <w:r w:rsidRPr="00F20CF9">
        <w:rPr>
          <w:rFonts w:eastAsia="Times New Roman"/>
          <w:kern w:val="2"/>
          <w:lang w:bidi="hi-IN"/>
        </w:rPr>
        <w:t>тыс</w:t>
      </w:r>
      <w:r w:rsidRPr="00527E27">
        <w:rPr>
          <w:rFonts w:eastAsia="Times New Roman"/>
          <w:kern w:val="2"/>
          <w:lang w:bidi="hi-IN"/>
        </w:rPr>
        <w:t xml:space="preserve">. </w:t>
      </w:r>
      <w:r w:rsidRPr="008158ED">
        <w:rPr>
          <w:rFonts w:eastAsia="Times New Roman"/>
          <w:kern w:val="2"/>
          <w:lang w:bidi="hi-IN"/>
        </w:rPr>
        <w:t>рублей (</w:t>
      </w:r>
      <w:r w:rsidR="00B7121C">
        <w:rPr>
          <w:rFonts w:eastAsia="Times New Roman"/>
          <w:kern w:val="2"/>
          <w:lang w:bidi="hi-IN"/>
        </w:rPr>
        <w:t>75,8</w:t>
      </w:r>
      <w:r w:rsidRPr="00F20CF9">
        <w:rPr>
          <w:rFonts w:eastAsia="Times New Roman"/>
          <w:kern w:val="2"/>
          <w:lang w:bidi="hi-IN"/>
        </w:rPr>
        <w:t>%</w:t>
      </w:r>
      <w:r w:rsidRPr="000F0F1B">
        <w:rPr>
          <w:rFonts w:eastAsia="Times New Roman"/>
          <w:kern w:val="2"/>
          <w:lang w:bidi="hi-IN"/>
        </w:rPr>
        <w:t xml:space="preserve"> от плановой суммы). </w:t>
      </w:r>
    </w:p>
    <w:p w:rsidR="0018267E" w:rsidRPr="000F0F1B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Степень достижения плановых значений целевых показателей составляет </w:t>
      </w:r>
      <w:r w:rsidR="00B7121C">
        <w:rPr>
          <w:rFonts w:eastAsia="Times New Roman"/>
          <w:kern w:val="2"/>
          <w:lang w:bidi="hi-IN"/>
        </w:rPr>
        <w:t>1,</w:t>
      </w:r>
      <w:r w:rsidR="008D7B24">
        <w:rPr>
          <w:rFonts w:eastAsia="Times New Roman"/>
          <w:kern w:val="2"/>
          <w:lang w:bidi="hi-IN"/>
        </w:rPr>
        <w:t>26</w:t>
      </w:r>
      <w:r w:rsidRPr="008158ED">
        <w:rPr>
          <w:rFonts w:eastAsia="Times New Roman"/>
          <w:kern w:val="2"/>
          <w:lang w:bidi="hi-IN"/>
        </w:rPr>
        <w:t>.</w:t>
      </w:r>
    </w:p>
    <w:p w:rsidR="0018267E" w:rsidRPr="00B7121C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0F0F1B">
        <w:rPr>
          <w:rFonts w:eastAsia="Times New Roman"/>
          <w:kern w:val="2"/>
          <w:lang w:bidi="hi-IN"/>
        </w:rPr>
        <w:t xml:space="preserve">Полнота использования средств </w:t>
      </w:r>
      <w:r w:rsidRPr="00B7121C">
        <w:rPr>
          <w:rFonts w:eastAsia="Times New Roman"/>
          <w:kern w:val="2"/>
          <w:lang w:bidi="hi-IN"/>
        </w:rPr>
        <w:t>составляет 0,</w:t>
      </w:r>
      <w:r w:rsidR="00B7121C" w:rsidRPr="00B7121C">
        <w:rPr>
          <w:rFonts w:eastAsia="Times New Roman"/>
          <w:kern w:val="2"/>
          <w:lang w:bidi="hi-IN"/>
        </w:rPr>
        <w:t>76</w:t>
      </w:r>
      <w:r w:rsidRPr="00B7121C">
        <w:rPr>
          <w:rFonts w:eastAsia="Times New Roman"/>
          <w:kern w:val="2"/>
          <w:lang w:bidi="hi-IN"/>
        </w:rPr>
        <w:t>.</w:t>
      </w:r>
    </w:p>
    <w:p w:rsidR="0018267E" w:rsidRPr="00400720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kern w:val="2"/>
          <w:lang w:bidi="hi-IN"/>
        </w:rPr>
      </w:pPr>
      <w:r w:rsidRPr="00400720">
        <w:rPr>
          <w:rFonts w:eastAsia="Times New Roman"/>
          <w:kern w:val="2"/>
          <w:lang w:bidi="hi-IN"/>
        </w:rPr>
        <w:t xml:space="preserve">В целом эффективность реализации муниципальной программы </w:t>
      </w:r>
      <w:r w:rsidRPr="00400720">
        <w:t xml:space="preserve"> «Управление муниципальным имуществом» </w:t>
      </w:r>
      <w:r w:rsidRPr="00B7121C">
        <w:rPr>
          <w:rFonts w:eastAsia="Times New Roman"/>
          <w:kern w:val="2"/>
          <w:lang w:bidi="hi-IN"/>
        </w:rPr>
        <w:t xml:space="preserve">составляет </w:t>
      </w:r>
      <w:r w:rsidR="008D7B24">
        <w:rPr>
          <w:rFonts w:eastAsia="Times New Roman"/>
          <w:kern w:val="2"/>
          <w:lang w:bidi="hi-IN"/>
        </w:rPr>
        <w:t>0,95</w:t>
      </w:r>
      <w:r w:rsidR="00B7121C">
        <w:rPr>
          <w:rFonts w:eastAsia="Times New Roman"/>
          <w:kern w:val="2"/>
          <w:lang w:bidi="hi-IN"/>
        </w:rPr>
        <w:t xml:space="preserve"> </w:t>
      </w:r>
      <w:r w:rsidRPr="00B7121C">
        <w:rPr>
          <w:rFonts w:eastAsia="Times New Roman"/>
          <w:kern w:val="2"/>
          <w:lang w:bidi="hi-IN"/>
        </w:rPr>
        <w:t>–</w:t>
      </w:r>
      <w:r w:rsidRPr="00400720">
        <w:rPr>
          <w:rFonts w:eastAsia="Times New Roman"/>
          <w:kern w:val="2"/>
          <w:lang w:bidi="hi-IN"/>
        </w:rPr>
        <w:t xml:space="preserve"> </w:t>
      </w:r>
      <w:r w:rsidRPr="00400720">
        <w:rPr>
          <w:rFonts w:eastAsia="Times New Roman"/>
          <w:kern w:val="2"/>
          <w:u w:val="single"/>
          <w:lang w:bidi="hi-IN"/>
        </w:rPr>
        <w:t>высокоэффективная.</w:t>
      </w:r>
    </w:p>
    <w:p w:rsidR="0018267E" w:rsidRDefault="0018267E" w:rsidP="0018267E">
      <w:pPr>
        <w:spacing w:after="0" w:line="240" w:lineRule="auto"/>
        <w:jc w:val="center"/>
        <w:rPr>
          <w:b/>
        </w:rPr>
      </w:pPr>
    </w:p>
    <w:p w:rsidR="0018267E" w:rsidRPr="000F0F1B" w:rsidRDefault="0018267E" w:rsidP="0018267E">
      <w:pPr>
        <w:widowControl w:val="0"/>
        <w:suppressAutoHyphens/>
        <w:spacing w:after="0" w:line="240" w:lineRule="auto"/>
        <w:ind w:firstLine="709"/>
        <w:jc w:val="both"/>
        <w:rPr>
          <w:rFonts w:eastAsia="Times New Roman"/>
          <w:b/>
          <w:kern w:val="2"/>
          <w:lang w:bidi="hi-IN"/>
        </w:rPr>
      </w:pPr>
      <w:r w:rsidRPr="000F0F1B">
        <w:rPr>
          <w:rFonts w:eastAsia="Times New Roman"/>
          <w:b/>
          <w:kern w:val="2"/>
          <w:lang w:bidi="hi-IN"/>
        </w:rPr>
        <w:t>Результаты реализации муниципальной программы:</w:t>
      </w:r>
    </w:p>
    <w:p w:rsidR="00304B5D" w:rsidRDefault="00304B5D" w:rsidP="00304B5D">
      <w:pPr>
        <w:spacing w:after="0" w:line="240" w:lineRule="auto"/>
        <w:jc w:val="center"/>
        <w:rPr>
          <w:b/>
        </w:rPr>
      </w:pPr>
    </w:p>
    <w:p w:rsidR="00B45F59" w:rsidRDefault="00B45F59" w:rsidP="00C005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18267E">
        <w:t xml:space="preserve">В рамках реализации основных мероприятий муниципальной </w:t>
      </w:r>
      <w:r w:rsidRPr="0018267E">
        <w:rPr>
          <w:bCs/>
        </w:rPr>
        <w:t>программы «</w:t>
      </w:r>
      <w:r w:rsidR="000B4B0B" w:rsidRPr="0018267E">
        <w:t>Управление муниципальным имуществом» за 202</w:t>
      </w:r>
      <w:r w:rsidR="00A936F9">
        <w:t>2</w:t>
      </w:r>
      <w:r w:rsidR="000B4B0B" w:rsidRPr="0018267E">
        <w:t xml:space="preserve"> год </w:t>
      </w:r>
      <w:r w:rsidRPr="0018267E">
        <w:t>были достигнуты следующие показатели:</w:t>
      </w: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Мероприятия в области имущественных и земельных отношений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2022 году образовано 207 земельных участков площадью 218,47 га.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Из них: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1) для ИЖС и ЛПХ в границах населенных пунктов 192 ЗУ (2 ЗУ в д. Старое </w:t>
      </w:r>
      <w:proofErr w:type="spellStart"/>
      <w:r>
        <w:t>Мартьяново</w:t>
      </w:r>
      <w:proofErr w:type="spellEnd"/>
      <w:r>
        <w:t xml:space="preserve">, 178 ЗУ в д. </w:t>
      </w:r>
      <w:proofErr w:type="gramStart"/>
      <w:r>
        <w:t>Новая</w:t>
      </w:r>
      <w:proofErr w:type="gramEnd"/>
      <w:r>
        <w:t xml:space="preserve"> </w:t>
      </w:r>
      <w:proofErr w:type="spellStart"/>
      <w:r>
        <w:t>Казмаска</w:t>
      </w:r>
      <w:proofErr w:type="spellEnd"/>
      <w:r>
        <w:t>, 12 по заявлению граждан);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2) 11 ЗУ категории земель сельскохозяйственного назначения на общую площадь 282,60 га;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3) 6 ЗУ  на общую площадь 72673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 с кадастровыми номерами:  18:08:078001:2118, 18:08:078002:226, 18:08:078002:227 с видом разрешенного использования: «Производственная деятельность (6.0)»; 18:08:134001:1069  с видом разрешенного использования: «склады (6.9)»; 18:08:130001:2089, 18:08:000000:9907  с видом разрешенного использования: «сельскохозяйственное использование (1.0)».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4) 2 ЗУ для МКД (земельный участок с кадастровым номером 18:08:078024:595 площадью 2677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с. Завьялово, ул. Полевая  с видом разрешенного использования: «Малоэтажная многоквартирная жилая застройка (2.1.1)». В настоящее время предоставлен Управлению строительства и муниципального хозяйства Администрации МО «Муниципальный округ Завьяловский район УР» на праве ПБП. Земельный участок  с кадастровым номером 18:08:087001:471 площадью 2500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 в с. </w:t>
      </w:r>
      <w:proofErr w:type="spellStart"/>
      <w:r>
        <w:t>Кияик</w:t>
      </w:r>
      <w:proofErr w:type="spellEnd"/>
      <w:r>
        <w:t xml:space="preserve"> с видом разрешенного использования: «малоэтажная многоквартирная жилая застройка (2.1.1).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Проведены в рамках муниципальных контрактов инженерно-геодезические изыскания  3 земельных участков под строительство многоквартирных домов  (</w:t>
      </w:r>
      <w:proofErr w:type="gramStart"/>
      <w:r>
        <w:t>Совхозный</w:t>
      </w:r>
      <w:proofErr w:type="gramEnd"/>
      <w:r>
        <w:t xml:space="preserve">, </w:t>
      </w:r>
      <w:proofErr w:type="spellStart"/>
      <w:r>
        <w:t>Италмас</w:t>
      </w:r>
      <w:proofErr w:type="spellEnd"/>
      <w:r>
        <w:t xml:space="preserve">, </w:t>
      </w:r>
      <w:proofErr w:type="spellStart"/>
      <w:r>
        <w:t>Вараксино</w:t>
      </w:r>
      <w:proofErr w:type="spellEnd"/>
      <w:r>
        <w:t>)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Осуществлена постановка на государственный кадастровый учет и регистрация права муниципальной собственности в отношении 24 объектов. 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Передача имущества муниципального образования «Муниципальный округ Завьяловский район Удмуртской Республики» в аренду, безвозмездное пользование,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lastRenderedPageBreak/>
        <w:t xml:space="preserve">В 2022 году передано 765 объектов недвижимого имущества, 2801 объект движимого имущества.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>
        <w:t>Из них, в отношении объектов недвижимого имущества за отчетный период передано в аренду  162 объекта, в безвозмездное пользование 51 объект, по договору мены 13 объектов, по договору на передачу жилых помещений в собственность граждан 21 объект, по договору социального найма 16 объектов, по договору найма 5 объектов, по договору купли-продажи 9 объектов, закреплено на праве хозяйственного ведения 98 объектов, на</w:t>
      </w:r>
      <w:proofErr w:type="gramEnd"/>
      <w:r>
        <w:t xml:space="preserve"> </w:t>
      </w:r>
      <w:proofErr w:type="gramStart"/>
      <w:r>
        <w:t>праве</w:t>
      </w:r>
      <w:proofErr w:type="gramEnd"/>
      <w:r>
        <w:t xml:space="preserve"> оперативного управления 378 объектов, безвозмездно передано 12 объектов из собственности муниципального образования «Муниципальный округ Завьяловский район Удмуртской Республики» в собственность муниципального образования «город Ижевск».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 результате реализации указа Главы Удмуртской Республики от 12.02.2018 № 42 «Об утверждении плана мероприятий («Дорожной карты») по выявлению неиспользуемого или неэффективно используемого недвижимого имущества на территории Удмуртской Республики и его вовлечению в хозяйственный оборот на 2018 год» на 31.12.2022  - 205 объектов вовлечены в хозяйственный оборот посредством продажи, предоставления в аренду.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рамках поддержки субъектов малого 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 в 2022 году предоставлено в аренду 7 объектов.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рамках реализации прогнозного плана приватизации муниципального имущества на 2022 год реализовано 3 объекта на общую сумму 526 293,37 руб. (здание интерната </w:t>
      </w:r>
      <w:proofErr w:type="gramStart"/>
      <w:r>
        <w:t>с</w:t>
      </w:r>
      <w:proofErr w:type="gramEnd"/>
      <w:r>
        <w:t xml:space="preserve">. </w:t>
      </w:r>
      <w:proofErr w:type="gramStart"/>
      <w:r>
        <w:t>Гольяны</w:t>
      </w:r>
      <w:proofErr w:type="gramEnd"/>
      <w:r>
        <w:t>,  линии электропередач д. Сокол).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По итогам аукционов на право заключения договоров аренды недвижимого имущества заключено 2 договора аренды в отношении 104 объектов газоснабжения протяженностью 531 км на общую сумму 1,266 тыс. руб.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Безвозмездно передано 12 объектов водоснабжения и водоотведения из собственности муниципального образования «Муниципальный округ Завьяловский район Удмуртской Республики» в собственность муниципального образования «город Ижевск» и закреплено на праве хозяйственного ведения за МУП г. Ижевска «</w:t>
      </w:r>
      <w:proofErr w:type="spellStart"/>
      <w:r>
        <w:t>Ижводоканал</w:t>
      </w:r>
      <w:proofErr w:type="spellEnd"/>
      <w:r>
        <w:t xml:space="preserve">». Из них 4 объекта на территории с. </w:t>
      </w:r>
      <w:proofErr w:type="spellStart"/>
      <w:r>
        <w:t>Вараксино</w:t>
      </w:r>
      <w:proofErr w:type="spellEnd"/>
      <w:r>
        <w:t xml:space="preserve"> (1 водоснабжение и 3 водоотведения, акт о приеме-передаче объектов от 18.03.2022), 8 объектов на территории с. Октябрьский (3 водоснабжения и 5 водоотведения, акт о приеме-передаче объектов от 30.12.2022).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отношении движимого имущества за отчетный период закреплено в хозяйственное ведение 5 объектов, в оперативное управление 2796 объектов.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Предоставление и передача имущества, находящегося в муниципальной собственности, публично-правовым образованиям (Российской Федерации, Удмуртской Республике, муниципальным образованиям), а также безвозмездный прием имущества в собственность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2022 году передано публично-правовым образованиям 13 объектов, принят 3551 объект.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Безвозмездно передано 12 объектов водоснабжения и водоотведения из собственности муниципального образования «Муниципальный округ Завьяловский район Удмуртской Республики» в собственность муниципального образования «город Ижевск» и закреплено на праве хозяйственного ведения за МУП г. Ижевска «</w:t>
      </w:r>
      <w:proofErr w:type="spellStart"/>
      <w:r>
        <w:t>Ижводоканал</w:t>
      </w:r>
      <w:proofErr w:type="spellEnd"/>
      <w:r>
        <w:t xml:space="preserve">». Из них 4 объекта на территории с. </w:t>
      </w:r>
      <w:proofErr w:type="spellStart"/>
      <w:r>
        <w:t>Вараксино</w:t>
      </w:r>
      <w:proofErr w:type="spellEnd"/>
      <w:r>
        <w:t xml:space="preserve"> (1 водоснабжение и 3 водоотведения, акт о приеме-передаче объектов от 18.03.2022), 8 объектов на </w:t>
      </w:r>
      <w:r>
        <w:lastRenderedPageBreak/>
        <w:t>территории с. Октябрьский (3 водоснабжения и 5 водоотведения, акт о приеме-передаче объектов от 30.12.2022).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Безвозмездно передан ЗУ с кадастровым номером 18:08:000000:2565 площадью 89069 +/- 2611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 категории земель «земли сельскохозяйственного назначения»,  с разрешенным использованием: «Для сельскохозяйственного производства» в собственность муниципального образования «город Ижевск» в целях включения в границы особо охраняемого природного комплекса – «</w:t>
      </w:r>
      <w:proofErr w:type="spellStart"/>
      <w:r>
        <w:t>Ярушкинский</w:t>
      </w:r>
      <w:proofErr w:type="spellEnd"/>
      <w:r>
        <w:t xml:space="preserve"> парк».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Принято в рамках Закона УР от 08.06.2021 № 64-РЗ «О преобразовании муниципальных образований, образованных на территории Завьяловского района Удмуртской Республики, и наделении вновь образованного муниципального образования статусом муниципального округа» из собственности сельских поселений 3385 объектов, из них: 747 объектов недвижимого имущества и 2638 объектов движимого имущества.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Принято из собственности Российской Федерации, Удмуртской Республики 166 объектов, из них: 5 объектов недвижимого имущества, 161 объект движимого имущества.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Приватизация неиспользуемого в муниципальных целях имущества, находящегося в собственности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рамках реализации прогнозного плана приватизации муниципального имущества на 2022 год реализовано 3 объекта на общую сумму 526 293,37 руб. (здание интерната </w:t>
      </w:r>
      <w:proofErr w:type="gramStart"/>
      <w:r>
        <w:t>с</w:t>
      </w:r>
      <w:proofErr w:type="gramEnd"/>
      <w:r>
        <w:t xml:space="preserve">. </w:t>
      </w:r>
      <w:proofErr w:type="gramStart"/>
      <w:r>
        <w:t>Гольяны</w:t>
      </w:r>
      <w:proofErr w:type="gramEnd"/>
      <w:r>
        <w:t>,  линии электропередач д. Сокол).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Государственная регистрация права собственности муниципального образования «Муниципальный округ Завьяловский район Удмуртской Республики» на объекты недвижимого имущества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Проведены процедуры регистрации права собственности муниципального образования в отношении 455 объектов.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Ведение реестра муниципального имущества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 реестре муниципального имущества на 31.12.2022 числится 4973 объекта, в том числе 2884 объекта числится в казне МО (1167 недвижимого и 38 движимого, 1679 земельных участков); 2089 объектов закреплено на праве оперативного управления и хозяйственного ведения (697 недвижимого и 1392 движимого).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Управление и распоряжение земельными участками, находящимися в собственности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сфере инвестиционной деятельности, направленной на решение задач социально-экономического развития Завьяловского района в 2022 году предоставлен 1 земельный участок в отрасли промышленности на территории </w:t>
      </w:r>
      <w:proofErr w:type="spellStart"/>
      <w:r>
        <w:t>Завьяловская</w:t>
      </w:r>
      <w:proofErr w:type="spellEnd"/>
      <w:r>
        <w:t xml:space="preserve"> 1,88 га (ЗАО "</w:t>
      </w:r>
      <w:proofErr w:type="spellStart"/>
      <w:r>
        <w:t>Техкрим</w:t>
      </w:r>
      <w:proofErr w:type="spellEnd"/>
      <w:r>
        <w:t>") и 1 земельный участок  площадью 10,0 га  сельскохозяйственного направления на Совхозной территории (Ижевская городская общественная организация ""Кинологический центр "Оружейный град")</w:t>
      </w:r>
      <w:proofErr w:type="gramStart"/>
      <w:r>
        <w:t xml:space="preserve"> .</w:t>
      </w:r>
      <w:proofErr w:type="gramEnd"/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целях привлечения инвесторов для реализации новых инвестиционных проектов для развития объектов промышленного назначения, </w:t>
      </w:r>
      <w:proofErr w:type="spellStart"/>
      <w:r>
        <w:t>сельскозяйственного</w:t>
      </w:r>
      <w:proofErr w:type="spellEnd"/>
      <w:r>
        <w:t xml:space="preserve"> производства, жилищного строительства на территории Завьяловского района сформирован перечень земельных участков государственной неразграниченной собственности, не обремененных правами третьих лиц.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Управление земельными участками, государственная собственность на которые не разграничена, в случаях и порядке, установленных законодательством.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Предоставлен 1801 земельный участок.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>
        <w:t>В том числе: в аренду 115 ЗУ (физическим лицам 59 ЗУ, юридическим лицам 56 ЗУ), в безвозмездное пользование 4 ЗУ, в собственность по договору купли-продажи 269 ЗУ (физическим лицам 240 ЗУ, юридическим лицам 29 ЗУ), в собственность безвозмездно 449 ЗУ (30 многодетным семьям, 419 гаражная амнистия), в собственность по соглашению о перераспределении 52 ЗУ, 13 решений об установлении публичного сервитута</w:t>
      </w:r>
      <w:proofErr w:type="gramEnd"/>
      <w:r>
        <w:t xml:space="preserve">, 893 разрешения на размещение объектов без предоставления земельных участков и установления сервитутов, публичного сервитута, 6 разрешений на использование земель или земельного участка, находящихся в государственной или муниципальной собственности.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>
        <w:t>Проработано 45 многодетных семей: предоставлено 30 ЗУ (ориентировочная площадь 1,8 га), 10 семей снято с учета в связи с несоответствием условиям 68-РЗ, 1 семья по личном заявлению.</w:t>
      </w:r>
      <w:proofErr w:type="gramEnd"/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Гаражная амнистия:  </w:t>
      </w:r>
      <w:proofErr w:type="gramStart"/>
      <w:r>
        <w:t>Предварительное согласование предоставления: 700 ЗУ (146% от плана); Предоставлено в собственность и зарегистрировано право: 419).</w:t>
      </w:r>
      <w:proofErr w:type="gramEnd"/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Управление земельными участками из состава земель сельскохозяйственного назначения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 целях дальнейшего вовлечения земель сельскохозяйственного назначения в сельскохозяйственный оборот в 2022 году  образовано 11 земельных участков общей площадью 282,60 га на территориях Первомайская, </w:t>
      </w:r>
      <w:proofErr w:type="spellStart"/>
      <w:r>
        <w:t>Завьяловская</w:t>
      </w:r>
      <w:proofErr w:type="spellEnd"/>
      <w:r>
        <w:t xml:space="preserve">, </w:t>
      </w:r>
      <w:proofErr w:type="spellStart"/>
      <w:r>
        <w:t>Казмасская</w:t>
      </w:r>
      <w:proofErr w:type="spellEnd"/>
      <w:r>
        <w:t xml:space="preserve">, Каменская, </w:t>
      </w:r>
      <w:proofErr w:type="spellStart"/>
      <w:r>
        <w:t>Бабинская</w:t>
      </w:r>
      <w:proofErr w:type="spellEnd"/>
      <w:r>
        <w:t xml:space="preserve">, </w:t>
      </w:r>
      <w:proofErr w:type="spellStart"/>
      <w:r>
        <w:t>Среднепостольская</w:t>
      </w:r>
      <w:proofErr w:type="spellEnd"/>
      <w:r>
        <w:t xml:space="preserve"> из них: в рамках муниципальных контрактов образовано 8 земельных участков на общую площадь 255,79 га.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Предоставлено 13 земельных участков категории земель сельскохозяйственного назначения для ведения сельскохозяйственного производства общей площадью 1235,3989 га из них: путем проведения торгов 8 земельных участков, общей площадью 1073,56га.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Предоставление муниципальных услуг в области имущественных и земельных отношений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Всего рассмотрено 12194 обращения, из них поступивших через МФЦ 3408.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Выполнение функций главного администратора доходов бюджета Завьяловского района по закрепленным доходам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Исполнение бюджета муниципального образования  «Муниципальный округ Завьяловский район УР» по доходам, администрируемых Управлением, на 01.01.2023 -  99 959,7 тыс. руб. или 101,3 % к годовым уточненным плановым показателям.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Так,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доходы, получаемые в виде арендной платы, а также средства от продажи права на заключение договоров аренды (земельные участки государственной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и находящиеся в собственности муниципального </w:t>
      </w:r>
      <w:r>
        <w:lastRenderedPageBreak/>
        <w:t xml:space="preserve">округа) - 46 566,1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составляет 95,0% к годовым уточненным плановым показателям 2022 года;                                                                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 - доходы от сдачи в аренду имущества - 9089,0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или 110,4% к годовым плановым показателям; 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- прочие поступления от использования имущества (</w:t>
      </w:r>
      <w:proofErr w:type="spellStart"/>
      <w:r>
        <w:t>соцнайм</w:t>
      </w:r>
      <w:proofErr w:type="spellEnd"/>
      <w:r>
        <w:t xml:space="preserve">) - 856,7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или 102,0% к годовым плановым показателям;                                                                                     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доходы от реализации иного имущества, находящегося в собственности МО - 2339,7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или 100% к годовым уточненным плановым показателям 2022 года;                  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доходы от продажи земельных участков (государственная собственность на которые не разграничена и которые расположены в границах поселений, а также муниципальной собственности ) - 33 205,0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составляет  107% к годовым уточненным плановым показателям 2022 года в том числе по торгам 9 841,7 </w:t>
      </w:r>
      <w:proofErr w:type="spellStart"/>
      <w:r>
        <w:t>тыс.руб</w:t>
      </w:r>
      <w:proofErr w:type="spellEnd"/>
      <w:r>
        <w:t>.;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 –6 246,9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составляет  115,5% к годовым уточненным плановым показателям 2022 года,                                                                         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 - прочие субсидии бюджетам муниципальных округов - 1 611,2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 xml:space="preserve">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Проведение комплексных кадастровых работ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>
        <w:t xml:space="preserve">В 2022 году проведены ККР в отношении 8 кварталов (240 объектов капитального строительства, 166 земельных участков). </w:t>
      </w:r>
      <w:proofErr w:type="gramEnd"/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Оспаривание кадастровой стоимости объектов недвижимости и земельных участков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 2022 году не поступили исковые заявления об оспаривании кадастровой стоимости объектов недвижимости и земельных участков.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2108E2">
        <w:rPr>
          <w:u w:val="single"/>
        </w:rPr>
        <w:t>Нормативно-методическое обеспечение процессов управления имущественными и земельными отношениями на территории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 2022 году утверждено 15 административных регламентов в отношении муниципальных услуг, предоставляемых Управлением имущества и земельных ресурсов Администрацией муниципального образования «Муниципальный округ Завьяловский район Удмуртской Республики».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Приняты следующие решения Совета депутатов муниципального образования «Муниципальный округ Завьяловский район Удмуртской Республики»: от 23.03.2022 № 230 об утверждении Положения о муниципальной казне муниципального образования «Муниципальный округ Завьяловский район Удмуртской Республики»; от 27.04.2022 № 265 «О предоставлении имущественных мер поддержки».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451BC3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451BC3">
        <w:rPr>
          <w:u w:val="single"/>
        </w:rPr>
        <w:t>Обеспечение доступности и открытости информации об имуществе муниципального образования «Муниципальный округ Завьяловский район Удмуртской Республики»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Официальное опубликование в газете «Пригородные вести», размещение на официальном сайте муниципального образования  </w:t>
      </w:r>
      <w:proofErr w:type="spellStart"/>
      <w:r>
        <w:t>завьяловский</w:t>
      </w:r>
      <w:proofErr w:type="gramStart"/>
      <w:r>
        <w:t>.р</w:t>
      </w:r>
      <w:proofErr w:type="gramEnd"/>
      <w:r>
        <w:t>ф</w:t>
      </w:r>
      <w:proofErr w:type="spellEnd"/>
      <w:r>
        <w:t xml:space="preserve"> в сети «Интернет», на официальном сайте Российской Федерации для размещения информации о проведении торгов torgi.gov.ru.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451BC3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r w:rsidRPr="00451BC3">
        <w:rPr>
          <w:u w:val="single"/>
        </w:rPr>
        <w:t>Осуществление муниципального земельного контроля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Во исполнение постановления Правительства РФ от 10.03.2022 № 336 проверки не проводились, предписания не выдавались. 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lastRenderedPageBreak/>
        <w:t>Проведено 157 обследований земельных участков, из них земель с/х назначения - 39. По результатам обследований направлено – 150 уведомление о недопущении обязательных требований земельного законодательства, объявлено 5 предостережений.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108E2" w:rsidRPr="00451BC3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u w:val="single"/>
        </w:rPr>
      </w:pPr>
      <w:proofErr w:type="gramStart"/>
      <w:r w:rsidRPr="00451BC3">
        <w:rPr>
          <w:u w:val="single"/>
        </w:rPr>
        <w:t>Выявление на территории муниципального образования «Муниципальный округ Завьяловский район Удмуртской Республики»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правоустанавливающие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21.07.1997</w:t>
      </w:r>
      <w:proofErr w:type="gramEnd"/>
      <w:r w:rsidRPr="00451BC3">
        <w:rPr>
          <w:u w:val="single"/>
        </w:rPr>
        <w:t xml:space="preserve"> № 122-ФЗ «О государственной регистрации прав на недвижимое имущество и сделок с ним», и права на такие объекты недвижимости, подтверждаются указанными документами</w:t>
      </w:r>
    </w:p>
    <w:p w:rsidR="002108E2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 отчетном периоде  проведена работа в отношении 12628 объектов.</w:t>
      </w:r>
    </w:p>
    <w:p w:rsidR="00A936F9" w:rsidRDefault="002108E2" w:rsidP="002108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На 31.12.2022 всего было 30260 объектов со сроком исполнения до 01.2024. С 01.01.2023 всего объектов 57162, из них 42391 ЗУ, 876 сооружений, 5327 помещения, 8530 здания, 38 ОНС, срок исполнения до 01.2027.</w:t>
      </w:r>
    </w:p>
    <w:p w:rsidR="00A936F9" w:rsidRDefault="00A936F9" w:rsidP="00C005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005B8" w:rsidRPr="00701A5B" w:rsidRDefault="00C005B8" w:rsidP="00701A5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45F59" w:rsidRPr="00F52D06" w:rsidRDefault="00B45F59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F52D06">
        <w:rPr>
          <w:b/>
        </w:rPr>
        <w:t xml:space="preserve">Результативность муниципальной подпрограммы определяется степенью достижения запланированных результатов. Для количественной оценки конечных результатов используются значения целевых показателей (индикаторов) муниципальной подпрограммы на конец ее реализации. </w:t>
      </w:r>
    </w:p>
    <w:p w:rsidR="00B45F59" w:rsidRDefault="00B45F59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F52D06">
        <w:rPr>
          <w:b/>
        </w:rPr>
        <w:t>По итогам года достигнуты следующие целевые показатели (индикаторы):</w:t>
      </w:r>
    </w:p>
    <w:p w:rsidR="00DC3EE6" w:rsidRPr="00DC3EE6" w:rsidRDefault="00DC3EE6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</w:t>
      </w:r>
      <w:r w:rsidRPr="00DC3EE6">
        <w:t>Выполнение годового планового задания по поступлениям в бюджет Завьяловского района доходов от использования и распоряжения имуществом и земельными ресурсами, администрируемым Управлением имущества и земельных ресурсов в соответствии с решением Совета депутатов муниципального образования «Муниципальный округ Завьяловский район Удмуртской Республики» о бюджете Завьяловского района на очередной финансовый год и плановый период</w:t>
      </w:r>
      <w:r>
        <w:t>.</w:t>
      </w:r>
    </w:p>
    <w:p w:rsidR="00DC3EE6" w:rsidRDefault="00580341" w:rsidP="00DC3E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80341">
        <w:t>Показатель выполнен</w:t>
      </w:r>
      <w:r>
        <w:t xml:space="preserve">. </w:t>
      </w:r>
      <w:r w:rsidR="00DC3EE6">
        <w:t>Исполнение бюджета муниципального образования  «Муниципальный округ Завьяловский район УР» по доходам, администрируемых Управлением, на 01.01.2023 -  99 959,7 тыс. руб. или 101,3 % к годовым уточненным плановым показателям.</w:t>
      </w:r>
    </w:p>
    <w:p w:rsidR="00580341" w:rsidRDefault="00580341" w:rsidP="00FA775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580341">
        <w:rPr>
          <w:rFonts w:eastAsia="Times New Roman"/>
          <w:lang w:eastAsia="ru-RU"/>
        </w:rPr>
        <w:t>Доля объектов недвижимого имущества, на которые зарегистрировано право собственности муниципального образования «Муниципальный округ Завьяловский район Удмуртской Республики», от общего количества объектов недвижимого имущества, учтенных в реестре муниципального имущества муниципального образования «Муниципальный округ Завьяловский район Удмуртской Республики»</w:t>
      </w:r>
      <w:r>
        <w:rPr>
          <w:rFonts w:eastAsia="Times New Roman"/>
          <w:lang w:eastAsia="ru-RU"/>
        </w:rPr>
        <w:t xml:space="preserve">, составила 69% при плане 65%. </w:t>
      </w:r>
    </w:p>
    <w:p w:rsidR="00580341" w:rsidRDefault="00580341" w:rsidP="00FA7754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580341">
        <w:rPr>
          <w:rFonts w:eastAsia="Times New Roman"/>
          <w:lang w:eastAsia="ru-RU"/>
        </w:rPr>
        <w:t>Показатель выполнен. В 2022 году проведены процедуры регистрации права собственности муниципального образования в отношении 455 объектов.</w:t>
      </w:r>
    </w:p>
    <w:p w:rsidR="004F5737" w:rsidRDefault="00580341" w:rsidP="00580341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580341">
        <w:rPr>
          <w:rFonts w:eastAsia="Times New Roman"/>
          <w:lang w:eastAsia="ru-RU"/>
        </w:rPr>
        <w:t>Площадь земельных участков, предоставленных для строительства в расчете на 10 тыс. чел. населения, в том числ</w:t>
      </w:r>
      <w:r>
        <w:rPr>
          <w:rFonts w:eastAsia="Times New Roman"/>
          <w:lang w:eastAsia="ru-RU"/>
        </w:rPr>
        <w:t>е земельных участков, предостав</w:t>
      </w:r>
      <w:r w:rsidRPr="00580341">
        <w:rPr>
          <w:rFonts w:eastAsia="Times New Roman"/>
          <w:lang w:eastAsia="ru-RU"/>
        </w:rPr>
        <w:t>ленных для жилищного строительства, индивидуального строительства и комплексного освоения в целях жилищного строительства</w:t>
      </w:r>
      <w:r w:rsidR="007C63D2">
        <w:rPr>
          <w:rFonts w:eastAsia="Times New Roman"/>
          <w:lang w:eastAsia="ru-RU"/>
        </w:rPr>
        <w:t xml:space="preserve">, составила </w:t>
      </w:r>
      <w:r w:rsidR="00F3559F">
        <w:rPr>
          <w:rFonts w:eastAsia="Times New Roman"/>
          <w:lang w:eastAsia="ru-RU"/>
        </w:rPr>
        <w:t>9,</w:t>
      </w:r>
      <w:r w:rsidR="003503A9">
        <w:rPr>
          <w:rFonts w:eastAsia="Times New Roman"/>
          <w:lang w:eastAsia="ru-RU"/>
        </w:rPr>
        <w:t>2</w:t>
      </w:r>
      <w:r w:rsidR="00F3559F">
        <w:rPr>
          <w:rFonts w:eastAsia="Times New Roman"/>
          <w:lang w:eastAsia="ru-RU"/>
        </w:rPr>
        <w:t xml:space="preserve"> </w:t>
      </w:r>
      <w:r w:rsidR="007C63D2">
        <w:rPr>
          <w:rFonts w:eastAsia="Times New Roman"/>
          <w:lang w:eastAsia="ru-RU"/>
        </w:rPr>
        <w:t xml:space="preserve">% (при плане </w:t>
      </w:r>
      <w:r>
        <w:rPr>
          <w:rFonts w:eastAsia="Times New Roman"/>
          <w:lang w:eastAsia="ru-RU"/>
        </w:rPr>
        <w:t>2,33</w:t>
      </w:r>
      <w:r w:rsidR="007C63D2">
        <w:rPr>
          <w:rFonts w:eastAsia="Times New Roman"/>
          <w:lang w:eastAsia="ru-RU"/>
        </w:rPr>
        <w:t>%).</w:t>
      </w:r>
    </w:p>
    <w:p w:rsidR="00F54C2C" w:rsidRDefault="00580341" w:rsidP="00F54C2C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580341">
        <w:rPr>
          <w:rFonts w:eastAsia="Times New Roman"/>
          <w:lang w:eastAsia="ru-RU"/>
        </w:rPr>
        <w:t xml:space="preserve">Показатель </w:t>
      </w:r>
      <w:r w:rsidRPr="00F3559F">
        <w:rPr>
          <w:rFonts w:eastAsia="Times New Roman"/>
          <w:lang w:eastAsia="ru-RU"/>
        </w:rPr>
        <w:t xml:space="preserve">выполнен. </w:t>
      </w:r>
      <w:r w:rsidR="00F54C2C" w:rsidRPr="00F3559F">
        <w:rPr>
          <w:rFonts w:eastAsia="Times New Roman"/>
          <w:lang w:eastAsia="ru-RU"/>
        </w:rPr>
        <w:t>В 202</w:t>
      </w:r>
      <w:r w:rsidR="00F3559F" w:rsidRPr="00F3559F">
        <w:rPr>
          <w:rFonts w:eastAsia="Times New Roman"/>
          <w:lang w:eastAsia="ru-RU"/>
        </w:rPr>
        <w:t>2</w:t>
      </w:r>
      <w:r w:rsidR="00F54C2C" w:rsidRPr="00F3559F">
        <w:rPr>
          <w:rFonts w:eastAsia="Times New Roman"/>
          <w:lang w:eastAsia="ru-RU"/>
        </w:rPr>
        <w:t xml:space="preserve"> году увеличение планового показателя  обусловлено поступлением обращений для строительства объектов инженерной инфраструктуры в микрорайонах  жилой застройки, социальных объектов, объектов нефтедобычи, газовой промышленности. Также в 202</w:t>
      </w:r>
      <w:r w:rsidR="00F3559F" w:rsidRPr="00F3559F">
        <w:rPr>
          <w:rFonts w:eastAsia="Times New Roman"/>
          <w:lang w:eastAsia="ru-RU"/>
        </w:rPr>
        <w:t>2</w:t>
      </w:r>
      <w:r w:rsidR="00F54C2C" w:rsidRPr="00F3559F">
        <w:rPr>
          <w:rFonts w:eastAsia="Times New Roman"/>
          <w:lang w:eastAsia="ru-RU"/>
        </w:rPr>
        <w:t xml:space="preserve"> году поступили обращения об установлении публичных сервитутов  для строительства  межпоселковых газопроводов.</w:t>
      </w:r>
    </w:p>
    <w:p w:rsidR="007C63D2" w:rsidRDefault="00580341" w:rsidP="00580341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- </w:t>
      </w:r>
      <w:r w:rsidRPr="00580341">
        <w:rPr>
          <w:rFonts w:eastAsia="Times New Roman"/>
          <w:lang w:eastAsia="ru-RU"/>
        </w:rPr>
        <w:t xml:space="preserve">Доля </w:t>
      </w:r>
      <w:r>
        <w:rPr>
          <w:rFonts w:eastAsia="Times New Roman"/>
          <w:lang w:eastAsia="ru-RU"/>
        </w:rPr>
        <w:t>вовлеченных в сельскохозяйствен</w:t>
      </w:r>
      <w:r w:rsidRPr="00580341">
        <w:rPr>
          <w:rFonts w:eastAsia="Times New Roman"/>
          <w:lang w:eastAsia="ru-RU"/>
        </w:rPr>
        <w:t>ный оборот земельных участков от общей площади земель кат</w:t>
      </w:r>
      <w:r>
        <w:rPr>
          <w:rFonts w:eastAsia="Times New Roman"/>
          <w:lang w:eastAsia="ru-RU"/>
        </w:rPr>
        <w:t>егории земель сельскохозяйствен</w:t>
      </w:r>
      <w:r w:rsidRPr="00580341">
        <w:rPr>
          <w:rFonts w:eastAsia="Times New Roman"/>
          <w:lang w:eastAsia="ru-RU"/>
        </w:rPr>
        <w:t>ного назначения, находящихся в государственной неразграниченной собственности и собственности муниципального образования «Муниципальный округ Завьяловский район Удмуртской Республики»</w:t>
      </w:r>
      <w:r>
        <w:rPr>
          <w:rFonts w:eastAsia="Times New Roman"/>
          <w:lang w:eastAsia="ru-RU"/>
        </w:rPr>
        <w:t xml:space="preserve">, </w:t>
      </w:r>
      <w:r w:rsidR="007C63D2">
        <w:rPr>
          <w:rFonts w:eastAsia="Times New Roman"/>
          <w:lang w:eastAsia="ru-RU"/>
        </w:rPr>
        <w:t xml:space="preserve">составила </w:t>
      </w:r>
      <w:r w:rsidR="007E5159">
        <w:rPr>
          <w:rFonts w:eastAsia="Times New Roman"/>
          <w:lang w:eastAsia="ru-RU"/>
        </w:rPr>
        <w:t>87,6</w:t>
      </w:r>
      <w:r w:rsidR="007C63D2">
        <w:rPr>
          <w:rFonts w:eastAsia="Times New Roman"/>
          <w:lang w:eastAsia="ru-RU"/>
        </w:rPr>
        <w:t xml:space="preserve">% (при плане </w:t>
      </w:r>
      <w:r>
        <w:rPr>
          <w:rFonts w:eastAsia="Times New Roman"/>
          <w:lang w:eastAsia="ru-RU"/>
        </w:rPr>
        <w:t>49,2</w:t>
      </w:r>
      <w:r w:rsidR="007C63D2">
        <w:rPr>
          <w:rFonts w:eastAsia="Times New Roman"/>
          <w:lang w:eastAsia="ru-RU"/>
        </w:rPr>
        <w:t xml:space="preserve">%). </w:t>
      </w:r>
    </w:p>
    <w:p w:rsidR="00F54C2C" w:rsidRPr="00F54C2C" w:rsidRDefault="00580341" w:rsidP="00F54C2C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580341">
        <w:rPr>
          <w:rFonts w:eastAsia="Times New Roman"/>
          <w:lang w:eastAsia="ru-RU"/>
        </w:rPr>
        <w:t xml:space="preserve">Показатель </w:t>
      </w:r>
      <w:r w:rsidRPr="007E5159">
        <w:rPr>
          <w:rFonts w:eastAsia="Times New Roman"/>
          <w:lang w:eastAsia="ru-RU"/>
        </w:rPr>
        <w:t xml:space="preserve">выполнен. </w:t>
      </w:r>
      <w:r w:rsidR="00F54C2C" w:rsidRPr="007E5159">
        <w:rPr>
          <w:rFonts w:eastAsia="Times New Roman"/>
          <w:lang w:eastAsia="ru-RU"/>
        </w:rPr>
        <w:t>В 202</w:t>
      </w:r>
      <w:r w:rsidR="007E5159" w:rsidRPr="007E5159">
        <w:rPr>
          <w:rFonts w:eastAsia="Times New Roman"/>
          <w:lang w:eastAsia="ru-RU"/>
        </w:rPr>
        <w:t>2</w:t>
      </w:r>
      <w:r w:rsidR="00F54C2C" w:rsidRPr="007E5159">
        <w:rPr>
          <w:rFonts w:eastAsia="Times New Roman"/>
          <w:lang w:eastAsia="ru-RU"/>
        </w:rPr>
        <w:t xml:space="preserve"> году увеличение планового показателя обусловлено количеством обращений граждан  о предоставлении земельных участков для сенокошения и выпаса сельскохозяйственных животных и реализации земельных участков на аукционе  в аренду для растениеводства (1.1).</w:t>
      </w:r>
      <w:r w:rsidR="00F54C2C">
        <w:rPr>
          <w:rFonts w:eastAsia="Times New Roman"/>
          <w:lang w:eastAsia="ru-RU"/>
        </w:rPr>
        <w:t xml:space="preserve"> </w:t>
      </w:r>
    </w:p>
    <w:p w:rsidR="007C63D2" w:rsidRDefault="007C63D2" w:rsidP="00F54C2C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C63D2">
        <w:rPr>
          <w:rFonts w:eastAsia="Times New Roman"/>
          <w:lang w:eastAsia="ru-RU"/>
        </w:rPr>
        <w:t>- Участие в комиссии по оспариванию кадастровой стоимости объектов недвижимости</w:t>
      </w:r>
      <w:r>
        <w:rPr>
          <w:rFonts w:eastAsia="Times New Roman"/>
          <w:lang w:eastAsia="ru-RU"/>
        </w:rPr>
        <w:t xml:space="preserve">, составило 100% (при плане 100%). </w:t>
      </w:r>
    </w:p>
    <w:p w:rsidR="007C63D2" w:rsidRDefault="00580341" w:rsidP="00580341">
      <w:pPr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580341">
        <w:rPr>
          <w:rFonts w:eastAsia="Times New Roman"/>
          <w:color w:val="000000"/>
          <w:lang w:eastAsia="ru-RU"/>
        </w:rPr>
        <w:t>Показатель выполнен. В 2022 году не поступили исковые заявления об оспаривании кадастровой стоимости объектов недвижимости и земельных участков</w:t>
      </w:r>
      <w:r>
        <w:rPr>
          <w:rFonts w:eastAsia="Times New Roman"/>
          <w:color w:val="000000"/>
          <w:lang w:eastAsia="ru-RU"/>
        </w:rPr>
        <w:t>.</w:t>
      </w:r>
    </w:p>
    <w:p w:rsidR="00580341" w:rsidRPr="007C63D2" w:rsidRDefault="00580341" w:rsidP="00580341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:rsidR="00B45F59" w:rsidRDefault="00580341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Эффективность муниципальной </w:t>
      </w:r>
      <w:r w:rsidR="00B45F59" w:rsidRPr="00C57146">
        <w:t xml:space="preserve">программы определяется как соотношение достигнутых результатов к затраченным на их достижение ресурсам. </w:t>
      </w:r>
    </w:p>
    <w:p w:rsidR="00B52E6C" w:rsidRDefault="00B52E6C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52E6C" w:rsidRPr="00C57146" w:rsidRDefault="00B52E6C" w:rsidP="000136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45F59" w:rsidRDefault="00B45F59" w:rsidP="00B52E6C">
      <w:pPr>
        <w:spacing w:after="0" w:line="240" w:lineRule="auto"/>
        <w:jc w:val="both"/>
        <w:rPr>
          <w:b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687"/>
        <w:gridCol w:w="3096"/>
      </w:tblGrid>
      <w:tr w:rsidR="00B52E6C" w:rsidRPr="00B52E6C" w:rsidTr="00DC3EE6">
        <w:tc>
          <w:tcPr>
            <w:tcW w:w="4503" w:type="dxa"/>
          </w:tcPr>
          <w:p w:rsidR="00B52E6C" w:rsidRPr="00B52E6C" w:rsidRDefault="00B52E6C" w:rsidP="00B52E6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52E6C">
              <w:rPr>
                <w:rFonts w:ascii="Times New Roman" w:hAnsi="Times New Roman" w:cs="Times New Roman"/>
                <w:shd w:val="clear" w:color="auto" w:fill="FFFFFF"/>
              </w:rPr>
              <w:t>Заместитель главы Администрации – начальник Управления  имущества и земельных ресурсов</w:t>
            </w:r>
          </w:p>
        </w:tc>
        <w:tc>
          <w:tcPr>
            <w:tcW w:w="1687" w:type="dxa"/>
          </w:tcPr>
          <w:p w:rsidR="00B52E6C" w:rsidRPr="00B52E6C" w:rsidRDefault="00B52E6C" w:rsidP="00B52E6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B52E6C" w:rsidRPr="00B52E6C" w:rsidRDefault="00B52E6C" w:rsidP="00B52E6C">
            <w:pPr>
              <w:tabs>
                <w:tab w:val="left" w:pos="4536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B52E6C" w:rsidRPr="00B52E6C" w:rsidRDefault="00B52E6C" w:rsidP="00B52E6C">
            <w:pPr>
              <w:tabs>
                <w:tab w:val="left" w:pos="4536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B52E6C" w:rsidRPr="00B52E6C" w:rsidRDefault="00B52E6C" w:rsidP="00B52E6C">
            <w:pPr>
              <w:tabs>
                <w:tab w:val="left" w:pos="4536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52E6C">
              <w:rPr>
                <w:rFonts w:ascii="Times New Roman" w:hAnsi="Times New Roman" w:cs="Times New Roman"/>
              </w:rPr>
              <w:t>Т.С. Опарина</w:t>
            </w:r>
          </w:p>
        </w:tc>
      </w:tr>
    </w:tbl>
    <w:p w:rsidR="00B52E6C" w:rsidRPr="00B52E6C" w:rsidRDefault="00B52E6C" w:rsidP="00B52E6C">
      <w:pPr>
        <w:spacing w:after="0" w:line="240" w:lineRule="auto"/>
        <w:jc w:val="both"/>
      </w:pPr>
    </w:p>
    <w:sectPr w:rsidR="00B52E6C" w:rsidRPr="00B52E6C" w:rsidSect="00180651">
      <w:pgSz w:w="11906" w:h="16838"/>
      <w:pgMar w:top="1134" w:right="85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6129"/>
    <w:multiLevelType w:val="hybridMultilevel"/>
    <w:tmpl w:val="1B8ACCC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BD934F0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15828DB"/>
    <w:multiLevelType w:val="hybridMultilevel"/>
    <w:tmpl w:val="6060D8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1B0CE6"/>
    <w:multiLevelType w:val="hybridMultilevel"/>
    <w:tmpl w:val="DF1827FE"/>
    <w:lvl w:ilvl="0" w:tplc="0419000F">
      <w:start w:val="1"/>
      <w:numFmt w:val="decimal"/>
      <w:lvlText w:val="%1."/>
      <w:lvlJc w:val="left"/>
      <w:pPr>
        <w:ind w:left="16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8B"/>
    <w:rsid w:val="00013638"/>
    <w:rsid w:val="00030A73"/>
    <w:rsid w:val="00054BC6"/>
    <w:rsid w:val="000625AB"/>
    <w:rsid w:val="000A59C1"/>
    <w:rsid w:val="000A7D44"/>
    <w:rsid w:val="000B0393"/>
    <w:rsid w:val="000B47D3"/>
    <w:rsid w:val="000B4B0B"/>
    <w:rsid w:val="000B6109"/>
    <w:rsid w:val="000D13A0"/>
    <w:rsid w:val="000D4920"/>
    <w:rsid w:val="000D7F10"/>
    <w:rsid w:val="000E0AE2"/>
    <w:rsid w:val="0011087A"/>
    <w:rsid w:val="001167B5"/>
    <w:rsid w:val="00116F9F"/>
    <w:rsid w:val="00117EAD"/>
    <w:rsid w:val="00134B34"/>
    <w:rsid w:val="00161C41"/>
    <w:rsid w:val="0016393F"/>
    <w:rsid w:val="001652AE"/>
    <w:rsid w:val="00172979"/>
    <w:rsid w:val="00180476"/>
    <w:rsid w:val="00180651"/>
    <w:rsid w:val="0018267E"/>
    <w:rsid w:val="00186A73"/>
    <w:rsid w:val="001C57C1"/>
    <w:rsid w:val="001D4D49"/>
    <w:rsid w:val="001E69DC"/>
    <w:rsid w:val="00204551"/>
    <w:rsid w:val="002108E2"/>
    <w:rsid w:val="002144CC"/>
    <w:rsid w:val="00217798"/>
    <w:rsid w:val="00220249"/>
    <w:rsid w:val="00220849"/>
    <w:rsid w:val="00234D43"/>
    <w:rsid w:val="002551E6"/>
    <w:rsid w:val="00260345"/>
    <w:rsid w:val="002741E2"/>
    <w:rsid w:val="002803AB"/>
    <w:rsid w:val="00290280"/>
    <w:rsid w:val="002926D2"/>
    <w:rsid w:val="0029297F"/>
    <w:rsid w:val="00297462"/>
    <w:rsid w:val="002B0404"/>
    <w:rsid w:val="002B0B02"/>
    <w:rsid w:val="002B2858"/>
    <w:rsid w:val="002B5D2E"/>
    <w:rsid w:val="002B63FD"/>
    <w:rsid w:val="002C6FF6"/>
    <w:rsid w:val="002E064D"/>
    <w:rsid w:val="002E0991"/>
    <w:rsid w:val="002F237E"/>
    <w:rsid w:val="00304B5D"/>
    <w:rsid w:val="003078C8"/>
    <w:rsid w:val="00313029"/>
    <w:rsid w:val="003203A4"/>
    <w:rsid w:val="0033348B"/>
    <w:rsid w:val="003503A9"/>
    <w:rsid w:val="00351F61"/>
    <w:rsid w:val="003A2359"/>
    <w:rsid w:val="003A3DE2"/>
    <w:rsid w:val="003A5F68"/>
    <w:rsid w:val="003D1694"/>
    <w:rsid w:val="003D58A5"/>
    <w:rsid w:val="003E2735"/>
    <w:rsid w:val="003E36D6"/>
    <w:rsid w:val="003F12B9"/>
    <w:rsid w:val="003F3061"/>
    <w:rsid w:val="003F6D60"/>
    <w:rsid w:val="00402227"/>
    <w:rsid w:val="00411A87"/>
    <w:rsid w:val="004206C2"/>
    <w:rsid w:val="00423189"/>
    <w:rsid w:val="00431CDF"/>
    <w:rsid w:val="004355B8"/>
    <w:rsid w:val="004438D7"/>
    <w:rsid w:val="00451BC3"/>
    <w:rsid w:val="00460B44"/>
    <w:rsid w:val="00467335"/>
    <w:rsid w:val="00467D0C"/>
    <w:rsid w:val="004770AA"/>
    <w:rsid w:val="00482196"/>
    <w:rsid w:val="004917EC"/>
    <w:rsid w:val="004A04DC"/>
    <w:rsid w:val="004A1B97"/>
    <w:rsid w:val="004A1D78"/>
    <w:rsid w:val="004A55B2"/>
    <w:rsid w:val="004E51B6"/>
    <w:rsid w:val="004F354D"/>
    <w:rsid w:val="004F5737"/>
    <w:rsid w:val="00500176"/>
    <w:rsid w:val="005006E8"/>
    <w:rsid w:val="0051649A"/>
    <w:rsid w:val="005202CB"/>
    <w:rsid w:val="0052130D"/>
    <w:rsid w:val="00522DB3"/>
    <w:rsid w:val="00524412"/>
    <w:rsid w:val="00550DDF"/>
    <w:rsid w:val="00551205"/>
    <w:rsid w:val="00555D45"/>
    <w:rsid w:val="005613DC"/>
    <w:rsid w:val="00580341"/>
    <w:rsid w:val="0058464E"/>
    <w:rsid w:val="00597189"/>
    <w:rsid w:val="005A20EB"/>
    <w:rsid w:val="005A7159"/>
    <w:rsid w:val="005C18FD"/>
    <w:rsid w:val="005C1A3F"/>
    <w:rsid w:val="005C2C27"/>
    <w:rsid w:val="005D62AB"/>
    <w:rsid w:val="005E7AF0"/>
    <w:rsid w:val="005F12C3"/>
    <w:rsid w:val="005F4DD6"/>
    <w:rsid w:val="006100B5"/>
    <w:rsid w:val="00612259"/>
    <w:rsid w:val="00632993"/>
    <w:rsid w:val="00634253"/>
    <w:rsid w:val="006419A4"/>
    <w:rsid w:val="00654624"/>
    <w:rsid w:val="00661123"/>
    <w:rsid w:val="00663D9F"/>
    <w:rsid w:val="006761BF"/>
    <w:rsid w:val="006966D0"/>
    <w:rsid w:val="00697EBE"/>
    <w:rsid w:val="006A261C"/>
    <w:rsid w:val="006A3049"/>
    <w:rsid w:val="006B02CB"/>
    <w:rsid w:val="006B71D8"/>
    <w:rsid w:val="006D4A96"/>
    <w:rsid w:val="006F62A0"/>
    <w:rsid w:val="00701A5B"/>
    <w:rsid w:val="00732E0A"/>
    <w:rsid w:val="0074043F"/>
    <w:rsid w:val="00740A17"/>
    <w:rsid w:val="0074566A"/>
    <w:rsid w:val="00745880"/>
    <w:rsid w:val="00752D1A"/>
    <w:rsid w:val="0075372F"/>
    <w:rsid w:val="0075791E"/>
    <w:rsid w:val="007622EC"/>
    <w:rsid w:val="00763C61"/>
    <w:rsid w:val="00773203"/>
    <w:rsid w:val="00775F3E"/>
    <w:rsid w:val="007918D0"/>
    <w:rsid w:val="00795116"/>
    <w:rsid w:val="007A4750"/>
    <w:rsid w:val="007B1F08"/>
    <w:rsid w:val="007B6046"/>
    <w:rsid w:val="007C63D2"/>
    <w:rsid w:val="007D6DE8"/>
    <w:rsid w:val="007E1F2A"/>
    <w:rsid w:val="007E5159"/>
    <w:rsid w:val="00816B68"/>
    <w:rsid w:val="008732D7"/>
    <w:rsid w:val="008843A6"/>
    <w:rsid w:val="008923CC"/>
    <w:rsid w:val="00892628"/>
    <w:rsid w:val="0089264C"/>
    <w:rsid w:val="008975E1"/>
    <w:rsid w:val="008C6697"/>
    <w:rsid w:val="008D4E47"/>
    <w:rsid w:val="008D7B24"/>
    <w:rsid w:val="008F49A4"/>
    <w:rsid w:val="00910F7C"/>
    <w:rsid w:val="009212B1"/>
    <w:rsid w:val="00923D17"/>
    <w:rsid w:val="00933E3C"/>
    <w:rsid w:val="00936065"/>
    <w:rsid w:val="00947B3E"/>
    <w:rsid w:val="00951CCF"/>
    <w:rsid w:val="009560CF"/>
    <w:rsid w:val="009657D1"/>
    <w:rsid w:val="00971617"/>
    <w:rsid w:val="0099188C"/>
    <w:rsid w:val="009A19FC"/>
    <w:rsid w:val="009A57BF"/>
    <w:rsid w:val="009B0B90"/>
    <w:rsid w:val="009B56C1"/>
    <w:rsid w:val="009C16E5"/>
    <w:rsid w:val="009C5058"/>
    <w:rsid w:val="009D2F28"/>
    <w:rsid w:val="009D3AF3"/>
    <w:rsid w:val="009D4CA8"/>
    <w:rsid w:val="009D6B3E"/>
    <w:rsid w:val="009E77E0"/>
    <w:rsid w:val="009F659A"/>
    <w:rsid w:val="00A0352C"/>
    <w:rsid w:val="00A272B2"/>
    <w:rsid w:val="00A27AE7"/>
    <w:rsid w:val="00A27BEE"/>
    <w:rsid w:val="00A37F2C"/>
    <w:rsid w:val="00A502B2"/>
    <w:rsid w:val="00A52B10"/>
    <w:rsid w:val="00A601D0"/>
    <w:rsid w:val="00A62585"/>
    <w:rsid w:val="00A936F9"/>
    <w:rsid w:val="00A94461"/>
    <w:rsid w:val="00AA14EE"/>
    <w:rsid w:val="00AA22E8"/>
    <w:rsid w:val="00AA453C"/>
    <w:rsid w:val="00AB415C"/>
    <w:rsid w:val="00AB725C"/>
    <w:rsid w:val="00AC59B7"/>
    <w:rsid w:val="00AE29C6"/>
    <w:rsid w:val="00B032F0"/>
    <w:rsid w:val="00B14A7A"/>
    <w:rsid w:val="00B17459"/>
    <w:rsid w:val="00B45F59"/>
    <w:rsid w:val="00B52E6C"/>
    <w:rsid w:val="00B7121C"/>
    <w:rsid w:val="00B7163E"/>
    <w:rsid w:val="00B84C44"/>
    <w:rsid w:val="00B85E1E"/>
    <w:rsid w:val="00B90569"/>
    <w:rsid w:val="00B97BF5"/>
    <w:rsid w:val="00BA742A"/>
    <w:rsid w:val="00BD2EBD"/>
    <w:rsid w:val="00C005B8"/>
    <w:rsid w:val="00C308AF"/>
    <w:rsid w:val="00C567D4"/>
    <w:rsid w:val="00C57146"/>
    <w:rsid w:val="00C65056"/>
    <w:rsid w:val="00C86836"/>
    <w:rsid w:val="00CC65ED"/>
    <w:rsid w:val="00CE2CF4"/>
    <w:rsid w:val="00D00D07"/>
    <w:rsid w:val="00D233E3"/>
    <w:rsid w:val="00D25E20"/>
    <w:rsid w:val="00D275E5"/>
    <w:rsid w:val="00D53350"/>
    <w:rsid w:val="00D56AF4"/>
    <w:rsid w:val="00D600E7"/>
    <w:rsid w:val="00D65025"/>
    <w:rsid w:val="00D73F6A"/>
    <w:rsid w:val="00D76FEF"/>
    <w:rsid w:val="00D90D14"/>
    <w:rsid w:val="00D914F2"/>
    <w:rsid w:val="00DA1892"/>
    <w:rsid w:val="00DA39C4"/>
    <w:rsid w:val="00DB41E1"/>
    <w:rsid w:val="00DC1026"/>
    <w:rsid w:val="00DC1D5A"/>
    <w:rsid w:val="00DC3EE6"/>
    <w:rsid w:val="00DC6947"/>
    <w:rsid w:val="00DD5451"/>
    <w:rsid w:val="00DE252C"/>
    <w:rsid w:val="00DE4F17"/>
    <w:rsid w:val="00E03215"/>
    <w:rsid w:val="00E035E4"/>
    <w:rsid w:val="00E30C6B"/>
    <w:rsid w:val="00E3412D"/>
    <w:rsid w:val="00E41449"/>
    <w:rsid w:val="00E47102"/>
    <w:rsid w:val="00E51C8E"/>
    <w:rsid w:val="00E566B1"/>
    <w:rsid w:val="00E85357"/>
    <w:rsid w:val="00E97B84"/>
    <w:rsid w:val="00EA1968"/>
    <w:rsid w:val="00EA38D1"/>
    <w:rsid w:val="00EA61B6"/>
    <w:rsid w:val="00EA6268"/>
    <w:rsid w:val="00EA675B"/>
    <w:rsid w:val="00EC0230"/>
    <w:rsid w:val="00EC3075"/>
    <w:rsid w:val="00EE0E38"/>
    <w:rsid w:val="00F00F6C"/>
    <w:rsid w:val="00F02C6D"/>
    <w:rsid w:val="00F16ABE"/>
    <w:rsid w:val="00F16DC1"/>
    <w:rsid w:val="00F23831"/>
    <w:rsid w:val="00F26038"/>
    <w:rsid w:val="00F3559F"/>
    <w:rsid w:val="00F3560B"/>
    <w:rsid w:val="00F35668"/>
    <w:rsid w:val="00F4214F"/>
    <w:rsid w:val="00F44BF1"/>
    <w:rsid w:val="00F529F8"/>
    <w:rsid w:val="00F52D06"/>
    <w:rsid w:val="00F54C2C"/>
    <w:rsid w:val="00F5560C"/>
    <w:rsid w:val="00F556D4"/>
    <w:rsid w:val="00F57B3F"/>
    <w:rsid w:val="00F673B6"/>
    <w:rsid w:val="00F67AA0"/>
    <w:rsid w:val="00F72997"/>
    <w:rsid w:val="00F73ED1"/>
    <w:rsid w:val="00F945E4"/>
    <w:rsid w:val="00FA1D1A"/>
    <w:rsid w:val="00FA7754"/>
    <w:rsid w:val="00FC3613"/>
    <w:rsid w:val="00FC6C57"/>
    <w:rsid w:val="00FE187C"/>
    <w:rsid w:val="00FE61D8"/>
    <w:rsid w:val="00FF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HTML Address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2C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3334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locked/>
    <w:rsid w:val="0033348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99"/>
    <w:qFormat/>
    <w:rsid w:val="0033348B"/>
    <w:rPr>
      <w:rFonts w:ascii="Calibri" w:eastAsia="Times New Roman" w:hAnsi="Calibri"/>
      <w:sz w:val="22"/>
      <w:szCs w:val="22"/>
      <w:lang w:eastAsia="en-US"/>
    </w:rPr>
  </w:style>
  <w:style w:type="paragraph" w:styleId="a4">
    <w:name w:val="List Paragraph"/>
    <w:basedOn w:val="a"/>
    <w:link w:val="a5"/>
    <w:uiPriority w:val="99"/>
    <w:qFormat/>
    <w:rsid w:val="0033348B"/>
    <w:pPr>
      <w:ind w:left="720"/>
      <w:contextualSpacing/>
    </w:pPr>
    <w:rPr>
      <w:rFonts w:ascii="Calibri" w:eastAsia="Times New Roman" w:hAnsi="Calibri"/>
      <w:sz w:val="22"/>
      <w:szCs w:val="20"/>
    </w:rPr>
  </w:style>
  <w:style w:type="character" w:customStyle="1" w:styleId="a5">
    <w:name w:val="Абзац списка Знак"/>
    <w:link w:val="a4"/>
    <w:uiPriority w:val="99"/>
    <w:locked/>
    <w:rsid w:val="0033348B"/>
    <w:rPr>
      <w:rFonts w:ascii="Calibri" w:eastAsia="Times New Roman" w:hAnsi="Calibri"/>
      <w:sz w:val="22"/>
    </w:rPr>
  </w:style>
  <w:style w:type="paragraph" w:customStyle="1" w:styleId="11">
    <w:name w:val="Без интервала1"/>
    <w:basedOn w:val="a"/>
    <w:uiPriority w:val="99"/>
    <w:rsid w:val="009D2F28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3">
    <w:name w:val="Body Text Indent 3"/>
    <w:aliases w:val="Знак, Знак"/>
    <w:basedOn w:val="a"/>
    <w:link w:val="30"/>
    <w:rsid w:val="009D2F28"/>
    <w:pPr>
      <w:spacing w:after="0" w:line="240" w:lineRule="auto"/>
      <w:ind w:firstLine="360"/>
      <w:jc w:val="both"/>
    </w:pPr>
    <w:rPr>
      <w:rFonts w:eastAsia="Times New Roman"/>
      <w:lang w:eastAsia="ru-RU"/>
    </w:rPr>
  </w:style>
  <w:style w:type="character" w:customStyle="1" w:styleId="30">
    <w:name w:val="Основной текст с отступом 3 Знак"/>
    <w:aliases w:val="Знак Знак, Знак Знак"/>
    <w:basedOn w:val="a0"/>
    <w:link w:val="3"/>
    <w:locked/>
    <w:rsid w:val="009D2F28"/>
    <w:rPr>
      <w:rFonts w:eastAsia="Times New Roman" w:cs="Times New Roman"/>
      <w:lang w:eastAsia="ru-RU"/>
    </w:rPr>
  </w:style>
  <w:style w:type="paragraph" w:styleId="a6">
    <w:name w:val="Body Text"/>
    <w:basedOn w:val="a"/>
    <w:link w:val="a7"/>
    <w:uiPriority w:val="99"/>
    <w:semiHidden/>
    <w:rsid w:val="009C50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C5058"/>
    <w:rPr>
      <w:rFonts w:cs="Times New Roman"/>
    </w:rPr>
  </w:style>
  <w:style w:type="paragraph" w:customStyle="1" w:styleId="ConsPlusNormal">
    <w:name w:val="ConsPlusNormal"/>
    <w:link w:val="ConsPlusNormal0"/>
    <w:rsid w:val="00E035E4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HTML">
    <w:name w:val="HTML Address"/>
    <w:basedOn w:val="a"/>
    <w:link w:val="HTML0"/>
    <w:rsid w:val="00E035E4"/>
    <w:pPr>
      <w:spacing w:after="0" w:line="360" w:lineRule="auto"/>
      <w:ind w:firstLine="680"/>
      <w:jc w:val="both"/>
    </w:pPr>
    <w:rPr>
      <w:rFonts w:eastAsia="Times New Roman"/>
      <w:iCs/>
      <w:color w:val="000000"/>
      <w:sz w:val="28"/>
      <w:szCs w:val="28"/>
      <w:lang w:eastAsia="ru-RU"/>
    </w:rPr>
  </w:style>
  <w:style w:type="character" w:customStyle="1" w:styleId="HTML0">
    <w:name w:val="Адрес HTML Знак"/>
    <w:basedOn w:val="a0"/>
    <w:link w:val="HTML"/>
    <w:locked/>
    <w:rsid w:val="00E035E4"/>
    <w:rPr>
      <w:rFonts w:eastAsia="Times New Roman" w:cs="Times New Roman"/>
      <w:iCs/>
      <w:color w:val="000000"/>
      <w:sz w:val="28"/>
      <w:szCs w:val="28"/>
      <w:lang w:eastAsia="ru-RU"/>
    </w:rPr>
  </w:style>
  <w:style w:type="paragraph" w:customStyle="1" w:styleId="ConsPlusCell">
    <w:name w:val="ConsPlusCell"/>
    <w:uiPriority w:val="99"/>
    <w:rsid w:val="00A502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Hyperlink"/>
    <w:basedOn w:val="a0"/>
    <w:uiPriority w:val="99"/>
    <w:semiHidden/>
    <w:rsid w:val="00F3566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1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14EE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005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c">
    <w:name w:val="Plain Text"/>
    <w:basedOn w:val="a"/>
    <w:link w:val="ad"/>
    <w:rsid w:val="00C005B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005B8"/>
    <w:rPr>
      <w:rFonts w:ascii="Courier New" w:eastAsia="Times New Roman" w:hAnsi="Courier New"/>
    </w:rPr>
  </w:style>
  <w:style w:type="character" w:styleId="ae">
    <w:name w:val="Strong"/>
    <w:uiPriority w:val="22"/>
    <w:qFormat/>
    <w:locked/>
    <w:rsid w:val="00C005B8"/>
    <w:rPr>
      <w:b/>
      <w:bCs/>
    </w:rPr>
  </w:style>
  <w:style w:type="character" w:customStyle="1" w:styleId="ConsPlusNormal0">
    <w:name w:val="ConsPlusNormal Знак"/>
    <w:link w:val="ConsPlusNormal"/>
    <w:locked/>
    <w:rsid w:val="008923CC"/>
    <w:rPr>
      <w:rFonts w:ascii="Arial" w:eastAsia="Times New Roman" w:hAnsi="Arial"/>
    </w:rPr>
  </w:style>
  <w:style w:type="table" w:styleId="af">
    <w:name w:val="Table Grid"/>
    <w:basedOn w:val="a1"/>
    <w:uiPriority w:val="59"/>
    <w:locked/>
    <w:rsid w:val="00B52E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HTML Address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2C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3334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locked/>
    <w:rsid w:val="0033348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99"/>
    <w:qFormat/>
    <w:rsid w:val="0033348B"/>
    <w:rPr>
      <w:rFonts w:ascii="Calibri" w:eastAsia="Times New Roman" w:hAnsi="Calibri"/>
      <w:sz w:val="22"/>
      <w:szCs w:val="22"/>
      <w:lang w:eastAsia="en-US"/>
    </w:rPr>
  </w:style>
  <w:style w:type="paragraph" w:styleId="a4">
    <w:name w:val="List Paragraph"/>
    <w:basedOn w:val="a"/>
    <w:link w:val="a5"/>
    <w:uiPriority w:val="99"/>
    <w:qFormat/>
    <w:rsid w:val="0033348B"/>
    <w:pPr>
      <w:ind w:left="720"/>
      <w:contextualSpacing/>
    </w:pPr>
    <w:rPr>
      <w:rFonts w:ascii="Calibri" w:eastAsia="Times New Roman" w:hAnsi="Calibri"/>
      <w:sz w:val="22"/>
      <w:szCs w:val="20"/>
    </w:rPr>
  </w:style>
  <w:style w:type="character" w:customStyle="1" w:styleId="a5">
    <w:name w:val="Абзац списка Знак"/>
    <w:link w:val="a4"/>
    <w:uiPriority w:val="99"/>
    <w:locked/>
    <w:rsid w:val="0033348B"/>
    <w:rPr>
      <w:rFonts w:ascii="Calibri" w:eastAsia="Times New Roman" w:hAnsi="Calibri"/>
      <w:sz w:val="22"/>
    </w:rPr>
  </w:style>
  <w:style w:type="paragraph" w:customStyle="1" w:styleId="11">
    <w:name w:val="Без интервала1"/>
    <w:basedOn w:val="a"/>
    <w:uiPriority w:val="99"/>
    <w:rsid w:val="009D2F28"/>
    <w:pPr>
      <w:spacing w:after="0" w:line="240" w:lineRule="auto"/>
    </w:pPr>
    <w:rPr>
      <w:rFonts w:ascii="Calibri" w:eastAsia="Times New Roman" w:hAnsi="Calibri"/>
      <w:sz w:val="22"/>
      <w:szCs w:val="22"/>
      <w:lang w:val="en-US"/>
    </w:rPr>
  </w:style>
  <w:style w:type="paragraph" w:styleId="3">
    <w:name w:val="Body Text Indent 3"/>
    <w:aliases w:val="Знак, Знак"/>
    <w:basedOn w:val="a"/>
    <w:link w:val="30"/>
    <w:rsid w:val="009D2F28"/>
    <w:pPr>
      <w:spacing w:after="0" w:line="240" w:lineRule="auto"/>
      <w:ind w:firstLine="360"/>
      <w:jc w:val="both"/>
    </w:pPr>
    <w:rPr>
      <w:rFonts w:eastAsia="Times New Roman"/>
      <w:lang w:eastAsia="ru-RU"/>
    </w:rPr>
  </w:style>
  <w:style w:type="character" w:customStyle="1" w:styleId="30">
    <w:name w:val="Основной текст с отступом 3 Знак"/>
    <w:aliases w:val="Знак Знак, Знак Знак"/>
    <w:basedOn w:val="a0"/>
    <w:link w:val="3"/>
    <w:locked/>
    <w:rsid w:val="009D2F28"/>
    <w:rPr>
      <w:rFonts w:eastAsia="Times New Roman" w:cs="Times New Roman"/>
      <w:lang w:eastAsia="ru-RU"/>
    </w:rPr>
  </w:style>
  <w:style w:type="paragraph" w:styleId="a6">
    <w:name w:val="Body Text"/>
    <w:basedOn w:val="a"/>
    <w:link w:val="a7"/>
    <w:uiPriority w:val="99"/>
    <w:semiHidden/>
    <w:rsid w:val="009C50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C5058"/>
    <w:rPr>
      <w:rFonts w:cs="Times New Roman"/>
    </w:rPr>
  </w:style>
  <w:style w:type="paragraph" w:customStyle="1" w:styleId="ConsPlusNormal">
    <w:name w:val="ConsPlusNormal"/>
    <w:link w:val="ConsPlusNormal0"/>
    <w:rsid w:val="00E035E4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HTML">
    <w:name w:val="HTML Address"/>
    <w:basedOn w:val="a"/>
    <w:link w:val="HTML0"/>
    <w:rsid w:val="00E035E4"/>
    <w:pPr>
      <w:spacing w:after="0" w:line="360" w:lineRule="auto"/>
      <w:ind w:firstLine="680"/>
      <w:jc w:val="both"/>
    </w:pPr>
    <w:rPr>
      <w:rFonts w:eastAsia="Times New Roman"/>
      <w:iCs/>
      <w:color w:val="000000"/>
      <w:sz w:val="28"/>
      <w:szCs w:val="28"/>
      <w:lang w:eastAsia="ru-RU"/>
    </w:rPr>
  </w:style>
  <w:style w:type="character" w:customStyle="1" w:styleId="HTML0">
    <w:name w:val="Адрес HTML Знак"/>
    <w:basedOn w:val="a0"/>
    <w:link w:val="HTML"/>
    <w:locked/>
    <w:rsid w:val="00E035E4"/>
    <w:rPr>
      <w:rFonts w:eastAsia="Times New Roman" w:cs="Times New Roman"/>
      <w:iCs/>
      <w:color w:val="000000"/>
      <w:sz w:val="28"/>
      <w:szCs w:val="28"/>
      <w:lang w:eastAsia="ru-RU"/>
    </w:rPr>
  </w:style>
  <w:style w:type="paragraph" w:customStyle="1" w:styleId="ConsPlusCell">
    <w:name w:val="ConsPlusCell"/>
    <w:uiPriority w:val="99"/>
    <w:rsid w:val="00A502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Hyperlink"/>
    <w:basedOn w:val="a0"/>
    <w:uiPriority w:val="99"/>
    <w:semiHidden/>
    <w:rsid w:val="00F3566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1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14EE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005B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c">
    <w:name w:val="Plain Text"/>
    <w:basedOn w:val="a"/>
    <w:link w:val="ad"/>
    <w:rsid w:val="00C005B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005B8"/>
    <w:rPr>
      <w:rFonts w:ascii="Courier New" w:eastAsia="Times New Roman" w:hAnsi="Courier New"/>
    </w:rPr>
  </w:style>
  <w:style w:type="character" w:styleId="ae">
    <w:name w:val="Strong"/>
    <w:uiPriority w:val="22"/>
    <w:qFormat/>
    <w:locked/>
    <w:rsid w:val="00C005B8"/>
    <w:rPr>
      <w:b/>
      <w:bCs/>
    </w:rPr>
  </w:style>
  <w:style w:type="character" w:customStyle="1" w:styleId="ConsPlusNormal0">
    <w:name w:val="ConsPlusNormal Знак"/>
    <w:link w:val="ConsPlusNormal"/>
    <w:locked/>
    <w:rsid w:val="008923CC"/>
    <w:rPr>
      <w:rFonts w:ascii="Arial" w:eastAsia="Times New Roman" w:hAnsi="Arial"/>
    </w:rPr>
  </w:style>
  <w:style w:type="table" w:styleId="af">
    <w:name w:val="Table Grid"/>
    <w:basedOn w:val="a1"/>
    <w:uiPriority w:val="59"/>
    <w:locked/>
    <w:rsid w:val="00B52E6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D7AD8-F566-4470-8217-F7292C42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2988</Words>
  <Characters>17032</Characters>
  <Application>Microsoft Office Word</Application>
  <DocSecurity>4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Вербицкая</cp:lastModifiedBy>
  <cp:revision>2</cp:revision>
  <cp:lastPrinted>2020-01-24T09:38:00Z</cp:lastPrinted>
  <dcterms:created xsi:type="dcterms:W3CDTF">2023-02-27T09:57:00Z</dcterms:created>
  <dcterms:modified xsi:type="dcterms:W3CDTF">2023-02-27T09:57:00Z</dcterms:modified>
</cp:coreProperties>
</file>