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3BAAACE9" w14:textId="77777777" w:rsidTr="00B451F5">
        <w:tc>
          <w:tcPr>
            <w:tcW w:w="4678" w:type="dxa"/>
          </w:tcPr>
          <w:p w14:paraId="3AD2DCD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466DFB8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0456DCA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135AF8F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240EB5FD" w14:textId="77777777" w:rsidR="00E2185C" w:rsidRPr="000B59D2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6368679A" w14:textId="294AC42D" w:rsidR="00E2185C" w:rsidRPr="00D3104C" w:rsidRDefault="00DD7E9F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D3104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D3104C">
              <w:rPr>
                <w:rFonts w:ascii="Arial" w:hAnsi="Arial" w:cs="Arial"/>
                <w:sz w:val="20"/>
                <w:szCs w:val="24"/>
              </w:rPr>
              <w:br/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88275C">
              <w:rPr>
                <w:rFonts w:ascii="Arial" w:hAnsi="Arial" w:cs="Arial"/>
                <w:sz w:val="20"/>
                <w:szCs w:val="20"/>
              </w:rPr>
              <w:t>-</w:t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88275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88275C" w:rsidRPr="0088275C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18.01.2@</w:t>
              </w:r>
            </w:hyperlink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r w:rsidR="0088275C">
              <w:rPr>
                <w:rFonts w:ascii="Arial" w:hAnsi="Arial" w:cs="Arial"/>
                <w:sz w:val="20"/>
                <w:szCs w:val="20"/>
              </w:rPr>
              <w:t>.</w:t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="0088275C">
              <w:rPr>
                <w:rFonts w:ascii="Arial" w:hAnsi="Arial" w:cs="Arial"/>
                <w:sz w:val="20"/>
                <w:szCs w:val="20"/>
              </w:rPr>
              <w:t>.</w:t>
            </w:r>
            <w:r w:rsidR="0088275C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="00E2185C" w:rsidRPr="00D3104C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D3104C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375B5DBB" w14:textId="77777777" w:rsidR="00E2185C" w:rsidRPr="00E2185C" w:rsidRDefault="00DD7E9F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</w:p>
          <w:p w14:paraId="4727A028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5637F479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045F11D3" w14:textId="77777777" w:rsidTr="00B451F5">
        <w:tc>
          <w:tcPr>
            <w:tcW w:w="4678" w:type="dxa"/>
          </w:tcPr>
          <w:p w14:paraId="1DB83027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3E1C02EA" w14:textId="3F46F893" w:rsidR="00E2185C" w:rsidRPr="006D7FD6" w:rsidRDefault="00A21A09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53A88E11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B717E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597DBE32" w14:textId="6D9E21CD" w:rsidR="00B5038B" w:rsidRPr="006D7FD6" w:rsidRDefault="00A21A09" w:rsidP="00127FF6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 xml:space="preserve">Прогноз инвестиционной активности </w:t>
      </w:r>
      <w:r>
        <w:rPr>
          <w:rFonts w:ascii="Arial" w:eastAsia="Calibri" w:hAnsi="Arial" w:cs="Arial"/>
          <w:b/>
          <w:bCs/>
          <w:sz w:val="28"/>
          <w:szCs w:val="32"/>
        </w:rPr>
        <w:br/>
        <w:t>промышленных предприятий оптимистичен</w:t>
      </w:r>
    </w:p>
    <w:p w14:paraId="47F672AF" w14:textId="47DA9784" w:rsidR="00B1645A" w:rsidRPr="006D7FD6" w:rsidRDefault="00B1645A" w:rsidP="00127FF6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62529AAD" w14:textId="2D512FDC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>В 2023 году инвестиционная активность промышленных предприятий республики составила 78%, что на 12 процентных пунктов ниже уровня 2022 года.</w:t>
      </w:r>
    </w:p>
    <w:p w14:paraId="1604CA99" w14:textId="0878E1FC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 xml:space="preserve">Первоочередной целью инвестирования является замена изношенной техники и оборудования </w:t>
      </w:r>
      <w:r w:rsidRPr="00A21A09">
        <w:rPr>
          <w:rFonts w:ascii="Arial" w:eastAsia="Calibri" w:hAnsi="Arial" w:cs="Arial"/>
          <w:sz w:val="24"/>
          <w:szCs w:val="24"/>
        </w:rPr>
        <w:t>–</w:t>
      </w:r>
      <w:r w:rsidRPr="00A21A09">
        <w:rPr>
          <w:rFonts w:ascii="Arial" w:hAnsi="Arial" w:cs="Arial"/>
          <w:sz w:val="24"/>
          <w:szCs w:val="24"/>
        </w:rPr>
        <w:t xml:space="preserve"> такой ответ дали 60% опрошенных руководителей предприятий. Особое внимание уделяется автоматизации (механизации) существующих производственных процессов, снижению себестоимости продукции, увеличению производственных мощностей с расширением номенклатуры продукции.</w:t>
      </w:r>
    </w:p>
    <w:p w14:paraId="50DD0AB3" w14:textId="24F9783F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 xml:space="preserve">В инвестиционной деятельности организации по-прежнему ориентированы на собственные средства </w:t>
      </w:r>
      <w:r w:rsidRPr="00A21A09">
        <w:rPr>
          <w:rFonts w:ascii="Arial" w:eastAsia="Calibri" w:hAnsi="Arial" w:cs="Arial"/>
          <w:sz w:val="24"/>
          <w:szCs w:val="24"/>
        </w:rPr>
        <w:t>–</w:t>
      </w:r>
      <w:r w:rsidRPr="00A21A09">
        <w:rPr>
          <w:rFonts w:ascii="Arial" w:hAnsi="Arial" w:cs="Arial"/>
          <w:sz w:val="24"/>
          <w:szCs w:val="24"/>
        </w:rPr>
        <w:t xml:space="preserve"> это отметили 73% респондентов. И только 28% организаций используют кредитные и заемные средства.</w:t>
      </w:r>
    </w:p>
    <w:p w14:paraId="4AF05AEE" w14:textId="74B1D8BA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 xml:space="preserve">У половины хозяйствующих субъектов имеются сравнительно новые основные средства. Средний возраст эксплуатируемых машин и оборудования составляет 10 лет, транспортных средств </w:t>
      </w:r>
      <w:r w:rsidRPr="00A21A09">
        <w:rPr>
          <w:rFonts w:ascii="Arial" w:eastAsia="Calibri" w:hAnsi="Arial" w:cs="Arial"/>
          <w:sz w:val="24"/>
          <w:szCs w:val="24"/>
        </w:rPr>
        <w:t>–</w:t>
      </w:r>
      <w:r w:rsidRPr="00A21A09">
        <w:rPr>
          <w:rFonts w:ascii="Arial" w:hAnsi="Arial" w:cs="Arial"/>
          <w:sz w:val="24"/>
          <w:szCs w:val="24"/>
        </w:rPr>
        <w:t xml:space="preserve"> 7,5 года, и только в 7% случаев машины и оборудование используются свыше 20 лет.</w:t>
      </w:r>
    </w:p>
    <w:p w14:paraId="01DD3781" w14:textId="507FA8EA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 xml:space="preserve">Для успешного функционирования организаций решающее значение отводится обновлению активной части основных фондов. Так, три четверти организаций использовали инвестиции на приобретение новых машин, оборудования, транспортных средств, из которых практически половина – импортные. Нередко в этом помогает и финансовый лизинг (29%). Тем не менее, выбывающие машины и оборудование не всегда заменяются новыми </w:t>
      </w:r>
      <w:r w:rsidRPr="00A21A09">
        <w:rPr>
          <w:rFonts w:ascii="Arial" w:eastAsia="Calibri" w:hAnsi="Arial" w:cs="Arial"/>
          <w:sz w:val="24"/>
          <w:szCs w:val="24"/>
        </w:rPr>
        <w:t>–</w:t>
      </w:r>
      <w:r w:rsidRPr="00A21A09">
        <w:rPr>
          <w:rFonts w:ascii="Arial" w:hAnsi="Arial" w:cs="Arial"/>
          <w:sz w:val="24"/>
          <w:szCs w:val="24"/>
        </w:rPr>
        <w:t xml:space="preserve"> каждая пятая из обследованных организаций закупала уже бывшие в употреблении основные средства.</w:t>
      </w:r>
    </w:p>
    <w:p w14:paraId="1EA6F794" w14:textId="1186CE80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 xml:space="preserve">Финансовый дефицит является основным сдерживающим фактором инвестиционной активности </w:t>
      </w:r>
      <w:r w:rsidRPr="00A21A09">
        <w:rPr>
          <w:rFonts w:ascii="Arial" w:eastAsia="Calibri" w:hAnsi="Arial" w:cs="Arial"/>
          <w:sz w:val="24"/>
          <w:szCs w:val="24"/>
        </w:rPr>
        <w:t>–</w:t>
      </w:r>
      <w:r w:rsidRPr="00A21A09">
        <w:rPr>
          <w:rFonts w:ascii="Arial" w:hAnsi="Arial" w:cs="Arial"/>
          <w:sz w:val="24"/>
          <w:szCs w:val="24"/>
        </w:rPr>
        <w:t xml:space="preserve"> считает большинство опрошенных руководителей. Значительное влияние на инвестиционную деятельность оказывает инфляционная политика и параметры курсовой политики в стране, на это указали 72% и 69% респондентов соответственно. Экономическая ситуация внутренняя (в стране) и внешняя (на мировых рынках) ограничивает инвестиционную активность, как показали 68% опрошенных респондентов.</w:t>
      </w:r>
    </w:p>
    <w:p w14:paraId="0674A696" w14:textId="2AA2346F" w:rsidR="00A21A09" w:rsidRPr="00A21A09" w:rsidRDefault="00A21A09" w:rsidP="004C04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>Ситуацию в целом удовлетворительной признают две трети руководителей, практически каждый шестой назвал ее неблагоприятной и лишь 15% респондентов оценили ситуацию как благоприятную. Среди предполагающих перемены в текущем году в сравнении с предыдущим отмечается явный перевес положительных оценок (на 20 процентных пунктов).</w:t>
      </w:r>
    </w:p>
    <w:p w14:paraId="142070AF" w14:textId="5B4BF8CA" w:rsidR="00E55132" w:rsidRPr="00A21A09" w:rsidRDefault="00A21A09" w:rsidP="004C046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A09">
        <w:rPr>
          <w:rFonts w:ascii="Arial" w:hAnsi="Arial" w:cs="Arial"/>
          <w:sz w:val="24"/>
          <w:szCs w:val="24"/>
        </w:rPr>
        <w:t xml:space="preserve">Ожидаемые изменения в следующем 2024 году у большинства руководителей промышленных предприятий оптимистичны. Более половины (60%) руководителей ожидают улучшения экономической ситуации, каждый третий изменений не ждет, а 7% </w:t>
      </w:r>
      <w:r w:rsidRPr="00B306B1">
        <w:rPr>
          <w:rFonts w:ascii="Arial" w:eastAsia="Calibri" w:hAnsi="Arial" w:cs="Arial"/>
          <w:sz w:val="24"/>
          <w:szCs w:val="24"/>
        </w:rPr>
        <w:t>–</w:t>
      </w:r>
      <w:r w:rsidRPr="00A21A09">
        <w:rPr>
          <w:rFonts w:ascii="Arial" w:hAnsi="Arial" w:cs="Arial"/>
          <w:sz w:val="24"/>
          <w:szCs w:val="24"/>
        </w:rPr>
        <w:t xml:space="preserve"> предполагают её ухудшение. Перевес оценок со знаком «плюс» составил 53 процентных пункта.</w:t>
      </w:r>
    </w:p>
    <w:sectPr w:rsidR="00E55132" w:rsidRPr="00A21A09" w:rsidSect="00784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AF8E2" w14:textId="77777777" w:rsidR="003A33B8" w:rsidRDefault="003A33B8" w:rsidP="00A02726">
      <w:pPr>
        <w:spacing w:after="0" w:line="240" w:lineRule="auto"/>
      </w:pPr>
      <w:r>
        <w:separator/>
      </w:r>
    </w:p>
  </w:endnote>
  <w:endnote w:type="continuationSeparator" w:id="0">
    <w:p w14:paraId="2D7AB58D" w14:textId="77777777" w:rsidR="003A33B8" w:rsidRDefault="003A33B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9DEDE" w14:textId="77777777" w:rsidR="00784973" w:rsidRDefault="00784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904A" w14:textId="77777777" w:rsidR="00A02726" w:rsidRDefault="00A02726">
    <w:pPr>
      <w:pStyle w:val="a5"/>
    </w:pPr>
  </w:p>
  <w:p w14:paraId="20FC21EE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3A2E" w14:textId="77777777" w:rsidR="00784973" w:rsidRDefault="007849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247C6" w14:textId="77777777" w:rsidR="003A33B8" w:rsidRDefault="003A33B8" w:rsidP="00A02726">
      <w:pPr>
        <w:spacing w:after="0" w:line="240" w:lineRule="auto"/>
      </w:pPr>
      <w:r>
        <w:separator/>
      </w:r>
    </w:p>
  </w:footnote>
  <w:footnote w:type="continuationSeparator" w:id="0">
    <w:p w14:paraId="10E2BD57" w14:textId="77777777" w:rsidR="003A33B8" w:rsidRDefault="003A33B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6160" w14:textId="77777777" w:rsidR="00962C5A" w:rsidRDefault="00DD7E9F">
    <w:pPr>
      <w:pStyle w:val="a3"/>
    </w:pPr>
    <w:r>
      <w:rPr>
        <w:noProof/>
        <w:lang w:eastAsia="ru-RU"/>
      </w:rPr>
      <w:pict w14:anchorId="49841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ADF3C" w14:textId="77777777" w:rsidR="00784973" w:rsidRDefault="0078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E7D42" w14:textId="77777777" w:rsidR="00962C5A" w:rsidRDefault="00DD7E9F">
    <w:pPr>
      <w:pStyle w:val="a3"/>
    </w:pPr>
    <w:r>
      <w:rPr>
        <w:noProof/>
        <w:lang w:eastAsia="ru-RU"/>
      </w:rPr>
      <w:pict w14:anchorId="6BE98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27FF6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33B8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28AB"/>
    <w:rsid w:val="00405005"/>
    <w:rsid w:val="00406774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465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183A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6395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104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5776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275C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27AD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64C0"/>
    <w:rsid w:val="009B7AFE"/>
    <w:rsid w:val="009C0114"/>
    <w:rsid w:val="009C25C4"/>
    <w:rsid w:val="009C2C8A"/>
    <w:rsid w:val="009C73BE"/>
    <w:rsid w:val="009C7C2F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A09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0F7F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1F5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07B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0CE2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04C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D7E9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84F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0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18.01.2@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689E-A494-4614-842A-81E9FCA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2023-12-27T09:50:00Z</dcterms:created>
  <dcterms:modified xsi:type="dcterms:W3CDTF">2023-12-27T09:50:00Z</dcterms:modified>
</cp:coreProperties>
</file>